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b/>
          <w:bCs/>
          <w:sz w:val="56"/>
          <w:szCs w:val="84"/>
        </w:rPr>
      </w:pPr>
      <w:r>
        <w:rPr>
          <w:rFonts w:ascii="宋体" w:hAnsi="宋体" w:eastAsia="宋体"/>
          <w:b/>
          <w:bCs/>
          <w:sz w:val="56"/>
          <w:szCs w:val="84"/>
        </w:rPr>
      </w:r>
      <w:r/>
    </w:p>
    <w:p>
      <w:pPr>
        <w:jc w:val="center"/>
        <w:spacing w:line="360" w:lineRule="auto"/>
        <w:widowControl/>
        <w:rPr>
          <w:rFonts w:ascii="宋体" w:hAnsi="宋体" w:eastAsia="宋体"/>
          <w:b/>
          <w:bCs/>
          <w:sz w:val="92"/>
          <w:szCs w:val="92"/>
        </w:rPr>
      </w:pPr>
      <w:r>
        <w:rPr>
          <w:rFonts w:hint="eastAsia" w:ascii="宋体" w:hAnsi="宋体" w:eastAsia="宋体"/>
          <w:b/>
          <w:sz w:val="92"/>
          <w:szCs w:val="92"/>
        </w:rPr>
        <w:t xml:space="preserve">苏州相城区政府采购</w:t>
      </w:r>
      <w:r/>
    </w:p>
    <w:p>
      <w:pPr>
        <w:jc w:val="center"/>
        <w:spacing w:line="360" w:lineRule="auto"/>
        <w:widowControl/>
        <w:rPr>
          <w:rFonts w:ascii="宋体" w:hAnsi="宋体" w:eastAsia="宋体"/>
          <w:b/>
          <w:bCs/>
          <w:sz w:val="96"/>
          <w:szCs w:val="84"/>
        </w:rPr>
      </w:pPr>
      <w:r>
        <w:rPr>
          <w:rFonts w:hint="eastAsia" w:ascii="宋体" w:hAnsi="宋体" w:eastAsia="宋体"/>
          <w:b/>
          <w:bCs/>
          <w:sz w:val="92"/>
          <w:szCs w:val="92"/>
        </w:rPr>
        <w:t xml:space="preserve">招  标  文  件</w:t>
      </w:r>
      <w:r/>
    </w:p>
    <w:p>
      <w:pPr>
        <w:jc w:val="center"/>
        <w:spacing w:line="360" w:lineRule="auto"/>
        <w:widowControl/>
        <w:rPr>
          <w:rFonts w:ascii="宋体" w:hAnsi="宋体" w:eastAsia="宋体"/>
          <w:b/>
          <w:bCs/>
          <w:sz w:val="56"/>
          <w:szCs w:val="84"/>
        </w:rPr>
      </w:pPr>
      <w:r>
        <w:rPr>
          <w:rFonts w:ascii="宋体" w:hAnsi="宋体" w:eastAsia="宋体"/>
          <w:b/>
          <w:bCs/>
          <w:sz w:val="56"/>
          <w:szCs w:val="84"/>
        </w:rPr>
        <mc:AlternateContent>
          <mc:Choice Requires="wpg">
            <w:drawing>
              <wp:inline xmlns:wp="http://schemas.openxmlformats.org/drawingml/2006/wordprocessingDrawing" distT="0" distB="0" distL="0" distR="0">
                <wp:extent cx="1609725" cy="14763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609724"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6.8pt;height:116.2pt;mso-wrap-distance-left:0.0pt;mso-wrap-distance-top:0.0pt;mso-wrap-distance-right:0.0pt;mso-wrap-distance-bottom:0.0pt;" stroked="f">
                <v:path textboxrect="0,0,0,0"/>
                <v:imagedata r:id="rId10" o:title=""/>
              </v:shape>
            </w:pict>
          </mc:Fallback>
        </mc:AlternateContent>
      </w:r>
      <w:r/>
    </w:p>
    <w:p>
      <w:pPr>
        <w:ind w:left="1680" w:right="840"/>
        <w:spacing w:line="360" w:lineRule="auto"/>
        <w:rPr>
          <w:rFonts w:ascii="宋体" w:hAnsi="宋体" w:eastAsia="宋体"/>
          <w:b/>
          <w:sz w:val="32"/>
          <w:szCs w:val="32"/>
        </w:rPr>
      </w:pPr>
      <w:r>
        <w:rPr>
          <w:rFonts w:ascii="宋体" w:hAnsi="宋体" w:eastAsia="宋体"/>
          <w:b/>
          <w:sz w:val="32"/>
          <w:szCs w:val="32"/>
        </w:rPr>
      </w:r>
      <w:r/>
    </w:p>
    <w:p>
      <w:pPr>
        <w:ind w:right="840" w:firstLine="964"/>
        <w:spacing w:line="360" w:lineRule="auto"/>
        <w:rPr>
          <w:rFonts w:ascii="宋体" w:hAnsi="宋体" w:eastAsia="宋体"/>
          <w:b/>
          <w:sz w:val="32"/>
          <w:szCs w:val="32"/>
        </w:rPr>
      </w:pPr>
      <w:r>
        <w:rPr>
          <w:rFonts w:hint="eastAsia" w:ascii="宋体" w:hAnsi="宋体" w:eastAsia="宋体"/>
          <w:b/>
          <w:sz w:val="32"/>
          <w:szCs w:val="32"/>
        </w:rPr>
        <w:t xml:space="preserve">采购编号：</w:t>
      </w:r>
      <w:r>
        <w:rPr>
          <w:rFonts w:hint="eastAsia" w:ascii="宋体" w:hAnsi="宋体" w:eastAsia="宋体"/>
          <w:b/>
          <w:sz w:val="32"/>
          <w:szCs w:val="32"/>
        </w:rPr>
        <w:t xml:space="preserve">JSZC-320507-SZGZ-G2025-0167</w:t>
      </w:r>
      <w:r/>
    </w:p>
    <w:p>
      <w:pPr>
        <w:ind w:left="2564" w:right="840" w:hanging="1606"/>
        <w:spacing w:line="360" w:lineRule="auto"/>
        <w:rPr>
          <w:rFonts w:ascii="宋体" w:hAnsi="宋体" w:eastAsia="宋体"/>
          <w:b/>
          <w:sz w:val="32"/>
          <w:szCs w:val="32"/>
        </w:rPr>
      </w:pPr>
      <w:r>
        <w:rPr>
          <w:rFonts w:hint="eastAsia" w:ascii="宋体" w:hAnsi="宋体" w:eastAsia="宋体"/>
          <w:b/>
          <w:sz w:val="32"/>
          <w:szCs w:val="32"/>
        </w:rPr>
        <w:t xml:space="preserve">采购内容：黄埭镇东桥消防救援站消防装备采购</w:t>
      </w:r>
      <w:r/>
    </w:p>
    <w:p>
      <w:pPr>
        <w:ind w:right="840" w:firstLine="964"/>
        <w:spacing w:line="360" w:lineRule="auto"/>
        <w:rPr>
          <w:rFonts w:ascii="宋体" w:hAnsi="宋体" w:eastAsia="宋体"/>
          <w:b/>
          <w:sz w:val="32"/>
          <w:szCs w:val="32"/>
        </w:rPr>
      </w:pPr>
      <w:r>
        <w:rPr>
          <w:rFonts w:hint="eastAsia" w:ascii="宋体" w:hAnsi="宋体" w:eastAsia="宋体"/>
          <w:b/>
          <w:sz w:val="32"/>
          <w:szCs w:val="32"/>
        </w:rPr>
        <w:t xml:space="preserve">采购单位：苏州市相城区黄埭镇人民政府 </w:t>
      </w:r>
      <w:r/>
    </w:p>
    <w:p>
      <w:pPr>
        <w:ind w:right="840" w:firstLine="964"/>
        <w:spacing w:line="360" w:lineRule="auto"/>
        <w:rPr>
          <w:rFonts w:ascii="宋体" w:hAnsi="宋体" w:eastAsia="宋体"/>
          <w:b/>
          <w:sz w:val="32"/>
          <w:szCs w:val="32"/>
        </w:rPr>
      </w:pPr>
      <w:r>
        <w:rPr>
          <w:rFonts w:hint="eastAsia" w:ascii="宋体" w:hAnsi="宋体" w:eastAsia="宋体"/>
          <w:b/>
          <w:sz w:val="32"/>
          <w:szCs w:val="32"/>
        </w:rPr>
        <w:t xml:space="preserve">采购类别：货物类</w:t>
      </w:r>
      <w:r/>
    </w:p>
    <w:p>
      <w:pPr>
        <w:ind w:right="840" w:firstLine="964"/>
        <w:spacing w:line="360" w:lineRule="auto"/>
        <w:rPr>
          <w:rFonts w:ascii="宋体" w:hAnsi="宋体" w:eastAsia="宋体"/>
          <w:b/>
          <w:sz w:val="32"/>
          <w:szCs w:val="32"/>
        </w:rPr>
      </w:pPr>
      <w:r>
        <w:rPr>
          <w:rFonts w:hint="eastAsia" w:ascii="宋体" w:hAnsi="宋体" w:eastAsia="宋体"/>
          <w:b/>
          <w:sz w:val="32"/>
          <w:szCs w:val="32"/>
        </w:rPr>
        <w:t xml:space="preserve">所属行业类别：工业</w:t>
      </w:r>
      <w:r/>
    </w:p>
    <w:p>
      <w:pPr>
        <w:jc w:val="center"/>
        <w:spacing w:line="360" w:lineRule="auto"/>
        <w:rPr>
          <w:rFonts w:ascii="宋体" w:hAnsi="宋体" w:eastAsia="宋体"/>
          <w:b/>
          <w:sz w:val="32"/>
          <w:szCs w:val="32"/>
        </w:rPr>
      </w:pPr>
      <w:r>
        <w:rPr>
          <w:rFonts w:ascii="宋体" w:hAnsi="宋体" w:eastAsia="宋体"/>
          <w:b/>
          <w:sz w:val="32"/>
          <w:szCs w:val="32"/>
        </w:rPr>
      </w:r>
      <w:r/>
    </w:p>
    <w:p>
      <w:pPr>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eastAsia="宋体"/>
          <w:b/>
          <w:sz w:val="32"/>
        </w:rPr>
      </w:pPr>
      <w:r>
        <w:rPr>
          <w:rFonts w:hint="eastAsia" w:ascii="宋体" w:hAnsi="宋体" w:eastAsia="宋体"/>
          <w:b/>
          <w:sz w:val="32"/>
        </w:rPr>
        <w:t xml:space="preserve">苏州公正建设咨询房地产评估有限公司</w:t>
      </w:r>
      <w:r/>
    </w:p>
    <w:p>
      <w:pPr>
        <w:jc w:val="center"/>
        <w:spacing w:line="360" w:lineRule="auto"/>
        <w:rPr>
          <w:rFonts w:ascii="宋体" w:hAnsi="宋体" w:eastAsia="宋体"/>
          <w:b/>
          <w:sz w:val="32"/>
        </w:rPr>
      </w:pPr>
      <w:r>
        <w:rPr>
          <w:rFonts w:hint="eastAsia" w:ascii="宋体" w:hAnsi="宋体" w:eastAsia="宋体"/>
          <w:b/>
          <w:sz w:val="32"/>
        </w:rPr>
        <w:t xml:space="preserve">二○二五年</w:t>
      </w:r>
      <w:r>
        <w:rPr>
          <w:rFonts w:hint="eastAsia" w:ascii="宋体" w:hAnsi="宋体" w:eastAsia="宋体"/>
          <w:b/>
          <w:sz w:val="32"/>
        </w:rPr>
        <w:t xml:space="preserve">十</w:t>
      </w:r>
      <w:r>
        <w:rPr>
          <w:rFonts w:hint="eastAsia" w:ascii="宋体" w:hAnsi="宋体" w:eastAsia="宋体"/>
          <w:b/>
          <w:sz w:val="32"/>
        </w:rPr>
        <w:t xml:space="preserve">二</w:t>
      </w:r>
      <w:r>
        <w:rPr>
          <w:rFonts w:hint="eastAsia" w:ascii="宋体" w:hAnsi="宋体" w:eastAsia="宋体"/>
          <w:b/>
          <w:sz w:val="32"/>
        </w:rPr>
        <w:t xml:space="preserve">月</w:t>
      </w:r>
      <w:r/>
    </w:p>
    <w:p>
      <w:pPr>
        <w:jc w:val="center"/>
        <w:spacing w:line="360" w:lineRule="auto"/>
        <w:rPr>
          <w:rFonts w:ascii="宋体" w:hAnsi="宋体" w:eastAsia="宋体"/>
          <w:b/>
          <w:sz w:val="32"/>
          <w:szCs w:val="32"/>
        </w:rPr>
        <w:outlineLvl w:val="0"/>
      </w:pPr>
      <w:r>
        <w:rPr>
          <w:rFonts w:hint="eastAsia" w:ascii="宋体" w:hAnsi="宋体" w:eastAsia="宋体"/>
          <w:sz w:val="32"/>
          <w:szCs w:val="32"/>
        </w:rPr>
        <w:br w:type="page" w:clear="all"/>
      </w:r>
      <w:bookmarkStart w:id="0" w:name="_Toc492294162"/>
      <w:r>
        <w:rPr>
          <w:rFonts w:hint="eastAsia" w:ascii="宋体" w:hAnsi="宋体" w:eastAsia="宋体"/>
          <w:b/>
          <w:sz w:val="32"/>
          <w:szCs w:val="32"/>
        </w:rPr>
        <w:t xml:space="preserve">前附表</w:t>
      </w:r>
      <w:bookmarkEnd w:id="0"/>
      <w:r/>
      <w:r/>
    </w:p>
    <w:tbl>
      <w:tblPr>
        <w:tblW w:w="99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24"/>
        <w:gridCol w:w="1647"/>
        <w:gridCol w:w="7580"/>
      </w:tblGrid>
      <w:tr>
        <w:trPr>
          <w:jc w:val="center"/>
          <w:trHeight w:val="340"/>
          <w:tblHeader/>
        </w:trPr>
        <w:tc>
          <w:tcPr>
            <w:tcW w:w="724" w:type="dxa"/>
            <w:vAlign w:val="center"/>
            <w:textDirection w:val="lrTb"/>
            <w:noWrap w:val="false"/>
          </w:tcPr>
          <w:p>
            <w:pPr>
              <w:jc w:val="center"/>
              <w:spacing w:line="320" w:lineRule="exact"/>
              <w:rPr>
                <w:rFonts w:ascii="宋体" w:hAnsi="宋体" w:eastAsia="宋体" w:cs="宋体"/>
                <w:b/>
                <w:sz w:val="21"/>
                <w:szCs w:val="21"/>
                <w:lang w:eastAsia="en-US"/>
              </w:rPr>
            </w:pPr>
            <w:r>
              <w:rPr>
                <w:rFonts w:hint="eastAsia" w:ascii="宋体" w:hAnsi="宋体" w:eastAsia="宋体" w:cs="宋体"/>
                <w:b/>
                <w:sz w:val="21"/>
                <w:szCs w:val="21"/>
                <w:lang w:eastAsia="en-US"/>
              </w:rPr>
              <w:t xml:space="preserve">序号</w:t>
            </w:r>
            <w:r/>
          </w:p>
        </w:tc>
        <w:tc>
          <w:tcPr>
            <w:tcW w:w="1647" w:type="dxa"/>
            <w:vAlign w:val="center"/>
            <w:textDirection w:val="lrTb"/>
            <w:noWrap w:val="false"/>
          </w:tcPr>
          <w:p>
            <w:pPr>
              <w:jc w:val="center"/>
              <w:spacing w:line="320" w:lineRule="exact"/>
              <w:rPr>
                <w:rFonts w:ascii="宋体" w:hAnsi="宋体" w:eastAsia="宋体" w:cs="宋体"/>
                <w:b/>
                <w:sz w:val="21"/>
                <w:szCs w:val="21"/>
                <w:lang w:eastAsia="en-US"/>
              </w:rPr>
            </w:pPr>
            <w:r>
              <w:rPr>
                <w:rFonts w:hint="eastAsia" w:ascii="宋体" w:hAnsi="宋体" w:eastAsia="宋体" w:cs="宋体"/>
                <w:b/>
                <w:sz w:val="21"/>
                <w:szCs w:val="21"/>
                <w:lang w:eastAsia="en-US"/>
              </w:rPr>
              <w:t xml:space="preserve">名  称</w:t>
            </w:r>
            <w:r/>
          </w:p>
        </w:tc>
        <w:tc>
          <w:tcPr>
            <w:tcW w:w="7580" w:type="dxa"/>
            <w:vAlign w:val="center"/>
            <w:textDirection w:val="lrTb"/>
            <w:noWrap w:val="false"/>
          </w:tcPr>
          <w:p>
            <w:pPr>
              <w:jc w:val="center"/>
              <w:spacing w:line="320" w:lineRule="exact"/>
              <w:rPr>
                <w:rFonts w:ascii="宋体" w:hAnsi="宋体" w:eastAsia="宋体" w:cs="宋体"/>
                <w:b/>
                <w:sz w:val="21"/>
                <w:szCs w:val="21"/>
                <w:lang w:eastAsia="en-US"/>
              </w:rPr>
            </w:pPr>
            <w:r>
              <w:rPr>
                <w:rFonts w:hint="eastAsia" w:ascii="宋体" w:hAnsi="宋体" w:eastAsia="宋体" w:cs="宋体"/>
                <w:b/>
                <w:sz w:val="21"/>
                <w:szCs w:val="21"/>
                <w:lang w:eastAsia="en-US"/>
              </w:rPr>
              <w:t xml:space="preserve">内      容</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1</w:t>
            </w:r>
            <w:r/>
          </w:p>
        </w:tc>
        <w:tc>
          <w:tcPr>
            <w:tcW w:w="1647" w:type="dxa"/>
            <w:vAlign w:val="center"/>
            <w:textDirection w:val="lrTb"/>
            <w:noWrap w:val="false"/>
          </w:tcPr>
          <w:p>
            <w:pP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招标编号</w:t>
            </w:r>
            <w:r/>
          </w:p>
        </w:tc>
        <w:tc>
          <w:tcPr>
            <w:tcW w:w="7580" w:type="dxa"/>
            <w:vAlign w:val="center"/>
            <w:textDirection w:val="lrTb"/>
            <w:noWrap w:val="false"/>
          </w:tcPr>
          <w:p>
            <w:pPr>
              <w:spacing w:line="320" w:lineRule="exact"/>
              <w:rPr>
                <w:rFonts w:ascii="宋体" w:hAnsi="宋体" w:eastAsia="宋体" w:cs="宋体"/>
                <w:sz w:val="21"/>
                <w:szCs w:val="21"/>
              </w:rPr>
            </w:pPr>
            <w:r>
              <w:rPr>
                <w:rFonts w:hint="eastAsia" w:ascii="宋体" w:hAnsi="宋体" w:eastAsia="宋体" w:cs="宋体"/>
                <w:b/>
                <w:sz w:val="21"/>
                <w:szCs w:val="21"/>
              </w:rPr>
              <w:t xml:space="preserve">JSZC-320507-SZGZ-G2025-0167</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2</w:t>
            </w:r>
            <w:r/>
          </w:p>
        </w:tc>
        <w:tc>
          <w:tcPr>
            <w:tcW w:w="1647" w:type="dxa"/>
            <w:vAlign w:val="center"/>
            <w:textDirection w:val="lrTb"/>
            <w:noWrap w:val="false"/>
          </w:tcPr>
          <w:p>
            <w:pP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招标内容</w:t>
            </w:r>
            <w:r/>
          </w:p>
        </w:tc>
        <w:tc>
          <w:tcPr>
            <w:tcW w:w="7580" w:type="dxa"/>
            <w:vAlign w:val="center"/>
            <w:textDirection w:val="lrTb"/>
            <w:noWrap w:val="false"/>
          </w:tcPr>
          <w:p>
            <w:pPr>
              <w:spacing w:line="320" w:lineRule="exact"/>
              <w:rPr>
                <w:rFonts w:ascii="宋体" w:hAnsi="宋体" w:eastAsia="宋体" w:cs="宋体"/>
                <w:sz w:val="21"/>
                <w:szCs w:val="21"/>
              </w:rPr>
            </w:pPr>
            <w:r>
              <w:rPr>
                <w:rFonts w:hint="eastAsia" w:ascii="宋体" w:hAnsi="宋体" w:eastAsia="宋体" w:cs="宋体"/>
                <w:bCs/>
                <w:sz w:val="21"/>
                <w:szCs w:val="21"/>
              </w:rPr>
              <w:t xml:space="preserve">黄埭镇东桥消防救援站消防装备采购</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3</w:t>
            </w:r>
            <w:r/>
          </w:p>
        </w:tc>
        <w:tc>
          <w:tcPr>
            <w:tcW w:w="1647" w:type="dxa"/>
            <w:vAlign w:val="center"/>
            <w:textDirection w:val="lrTb"/>
            <w:noWrap w:val="false"/>
          </w:tcPr>
          <w:p>
            <w:pPr>
              <w:ind w:left="105" w:hanging="105"/>
              <w:spacing w:line="320" w:lineRule="exact"/>
              <w:rPr>
                <w:rFonts w:ascii="宋体" w:hAnsi="宋体" w:eastAsia="宋体" w:cs="宋体"/>
                <w:bCs/>
                <w:sz w:val="21"/>
                <w:szCs w:val="21"/>
              </w:rPr>
            </w:pPr>
            <w:r>
              <w:rPr>
                <w:rFonts w:hint="eastAsia" w:ascii="宋体" w:hAnsi="宋体" w:eastAsia="宋体" w:cs="宋体"/>
                <w:bCs/>
                <w:sz w:val="21"/>
                <w:szCs w:val="21"/>
              </w:rPr>
              <w:t xml:space="preserve">招标单位</w:t>
            </w:r>
            <w:r/>
          </w:p>
        </w:tc>
        <w:tc>
          <w:tcPr>
            <w:tcW w:w="7580" w:type="dxa"/>
            <w:vAlign w:val="center"/>
            <w:textDirection w:val="lrTb"/>
            <w:noWrap w:val="false"/>
          </w:tcPr>
          <w:p>
            <w:pPr>
              <w:spacing w:line="320" w:lineRule="exact"/>
              <w:rPr>
                <w:rFonts w:ascii="宋体" w:hAnsi="宋体" w:eastAsia="宋体" w:cs="宋体"/>
                <w:bCs/>
                <w:sz w:val="21"/>
                <w:szCs w:val="21"/>
              </w:rPr>
            </w:pPr>
            <w:r>
              <w:rPr>
                <w:rFonts w:hint="eastAsia" w:ascii="宋体" w:hAnsi="宋体" w:eastAsia="宋体" w:cs="宋体"/>
                <w:bCs/>
                <w:sz w:val="21"/>
                <w:szCs w:val="21"/>
              </w:rPr>
              <w:t xml:space="preserve">名  称：苏州市相城区黄埭镇人民政府</w:t>
            </w:r>
            <w:r/>
          </w:p>
          <w:p>
            <w:pPr>
              <w:spacing w:line="320" w:lineRule="exact"/>
              <w:rPr>
                <w:rFonts w:ascii="宋体" w:hAnsi="宋体" w:eastAsia="宋体" w:cs="宋体"/>
                <w:bCs/>
                <w:sz w:val="21"/>
                <w:szCs w:val="21"/>
              </w:rPr>
            </w:pPr>
            <w:r>
              <w:rPr>
                <w:rFonts w:hint="eastAsia" w:ascii="宋体" w:hAnsi="宋体" w:eastAsia="宋体" w:cs="宋体"/>
                <w:bCs/>
                <w:sz w:val="21"/>
                <w:szCs w:val="21"/>
              </w:rPr>
              <w:t xml:space="preserve">地  址：江苏省苏州市相城区黄埭镇春丰路</w:t>
            </w:r>
            <w:r>
              <w:rPr>
                <w:rFonts w:ascii="宋体" w:hAnsi="宋体" w:eastAsia="宋体" w:cs="宋体"/>
                <w:bCs/>
                <w:sz w:val="21"/>
                <w:szCs w:val="21"/>
              </w:rPr>
              <w:t xml:space="preserve">406</w:t>
            </w:r>
            <w:r>
              <w:rPr>
                <w:rFonts w:hint="eastAsia" w:ascii="宋体" w:hAnsi="宋体" w:eastAsia="宋体" w:cs="宋体"/>
                <w:bCs/>
                <w:sz w:val="21"/>
                <w:szCs w:val="21"/>
              </w:rPr>
              <w:t xml:space="preserve">号康阳大厦</w:t>
            </w:r>
            <w:r/>
          </w:p>
          <w:p>
            <w:pPr>
              <w:spacing w:line="320" w:lineRule="exact"/>
              <w:rPr>
                <w:rFonts w:ascii="宋体" w:hAnsi="宋体" w:eastAsia="宋体" w:cs="宋体"/>
                <w:bCs/>
                <w:sz w:val="21"/>
                <w:szCs w:val="21"/>
              </w:rPr>
            </w:pPr>
            <w:r>
              <w:rPr>
                <w:rFonts w:hint="eastAsia" w:ascii="宋体" w:hAnsi="宋体" w:eastAsia="宋体" w:cs="宋体"/>
                <w:bCs/>
                <w:sz w:val="21"/>
                <w:szCs w:val="21"/>
              </w:rPr>
              <w:t xml:space="preserve">联系人：滕飞</w:t>
            </w:r>
            <w:r/>
          </w:p>
          <w:p>
            <w:pPr>
              <w:spacing w:line="320" w:lineRule="exact"/>
              <w:rPr>
                <w:rFonts w:ascii="宋体" w:hAnsi="宋体" w:eastAsia="宋体"/>
              </w:rPr>
            </w:pPr>
            <w:r>
              <w:rPr>
                <w:rFonts w:hint="eastAsia" w:ascii="宋体" w:hAnsi="宋体" w:eastAsia="宋体" w:cs="宋体"/>
                <w:bCs/>
                <w:sz w:val="21"/>
                <w:szCs w:val="21"/>
              </w:rPr>
              <w:t xml:space="preserve">联系电话：</w:t>
            </w:r>
            <w:r>
              <w:rPr>
                <w:rFonts w:ascii="宋体" w:hAnsi="宋体" w:eastAsia="宋体" w:cs="宋体"/>
                <w:bCs/>
                <w:sz w:val="21"/>
                <w:szCs w:val="21"/>
              </w:rPr>
              <w:t xml:space="preserve">0512-65400162</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4</w:t>
            </w:r>
            <w:r/>
          </w:p>
        </w:tc>
        <w:tc>
          <w:tcPr>
            <w:tcW w:w="1647" w:type="dxa"/>
            <w:vAlign w:val="center"/>
            <w:textDirection w:val="lrTb"/>
            <w:noWrap w:val="false"/>
          </w:tcPr>
          <w:p>
            <w:pP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招标代理机构</w:t>
            </w:r>
            <w:r/>
          </w:p>
        </w:tc>
        <w:tc>
          <w:tcPr>
            <w:tcW w:w="7580" w:type="dxa"/>
            <w:vAlign w:val="center"/>
            <w:textDirection w:val="lrTb"/>
            <w:noWrap w:val="false"/>
          </w:tcPr>
          <w:p>
            <w:pPr>
              <w:rPr>
                <w:rFonts w:ascii="宋体" w:hAnsi="宋体" w:eastAsia="宋体" w:cs="等线"/>
                <w:sz w:val="21"/>
                <w:szCs w:val="21"/>
              </w:rPr>
            </w:pPr>
            <w:r>
              <w:rPr>
                <w:rFonts w:hint="eastAsia" w:ascii="宋体" w:hAnsi="宋体" w:eastAsia="宋体" w:cs="等线"/>
                <w:sz w:val="21"/>
                <w:szCs w:val="21"/>
              </w:rPr>
              <w:t xml:space="preserve">名  称：苏州公正建设咨询房地产评估有限公司</w:t>
            </w:r>
            <w:r/>
          </w:p>
          <w:p>
            <w:pPr>
              <w:rPr>
                <w:rFonts w:ascii="宋体" w:hAnsi="宋体" w:eastAsia="宋体" w:cs="等线"/>
                <w:sz w:val="21"/>
                <w:szCs w:val="21"/>
              </w:rPr>
            </w:pPr>
            <w:r>
              <w:rPr>
                <w:rFonts w:hint="eastAsia" w:ascii="宋体" w:hAnsi="宋体" w:eastAsia="宋体" w:cs="等线"/>
                <w:sz w:val="21"/>
                <w:szCs w:val="21"/>
              </w:rPr>
              <w:t xml:space="preserve">地  址：苏州市相城区华元路1902号2幢东楼2楼</w:t>
            </w:r>
            <w:r/>
          </w:p>
          <w:p>
            <w:pPr>
              <w:rPr>
                <w:rFonts w:ascii="宋体" w:hAnsi="宋体" w:eastAsia="宋体" w:cs="等线"/>
                <w:sz w:val="21"/>
                <w:szCs w:val="21"/>
              </w:rPr>
            </w:pPr>
            <w:r>
              <w:rPr>
                <w:rFonts w:hint="eastAsia" w:ascii="宋体" w:hAnsi="宋体" w:eastAsia="宋体" w:cs="等线"/>
                <w:sz w:val="21"/>
                <w:szCs w:val="21"/>
              </w:rPr>
              <w:t xml:space="preserve">联系人：沈燕、陆帏帏、项陈</w:t>
            </w:r>
            <w:r/>
          </w:p>
          <w:p>
            <w:pPr>
              <w:rPr>
                <w:rFonts w:ascii="宋体" w:hAnsi="宋体" w:eastAsia="宋体" w:cs="等线"/>
                <w:sz w:val="21"/>
                <w:szCs w:val="21"/>
              </w:rPr>
            </w:pPr>
            <w:r>
              <w:rPr>
                <w:rFonts w:hint="eastAsia" w:ascii="宋体" w:hAnsi="宋体" w:eastAsia="宋体" w:cs="等线"/>
                <w:sz w:val="21"/>
                <w:szCs w:val="21"/>
              </w:rPr>
              <w:t xml:space="preserve">联系电话：0512-67913588-6001</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5</w:t>
            </w:r>
            <w:r/>
          </w:p>
        </w:tc>
        <w:tc>
          <w:tcPr>
            <w:tcW w:w="1647" w:type="dxa"/>
            <w:vAlign w:val="center"/>
            <w:textDirection w:val="lrTb"/>
            <w:noWrap w:val="false"/>
          </w:tcPr>
          <w:p>
            <w:pP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投标有效期</w:t>
            </w:r>
            <w:r/>
          </w:p>
        </w:tc>
        <w:tc>
          <w:tcPr>
            <w:tcW w:w="7580" w:type="dxa"/>
            <w:vAlign w:val="center"/>
            <w:textDirection w:val="lrTb"/>
            <w:noWrap w:val="false"/>
          </w:tcPr>
          <w:p>
            <w:pPr>
              <w:spacing w:line="320" w:lineRule="exact"/>
              <w:rPr>
                <w:rFonts w:ascii="宋体" w:hAnsi="宋体" w:eastAsia="宋体" w:cs="宋体"/>
                <w:sz w:val="21"/>
                <w:szCs w:val="21"/>
                <w:lang w:eastAsia="en-US"/>
              </w:rPr>
            </w:pPr>
            <w:r>
              <w:rPr>
                <w:rFonts w:hint="eastAsia" w:ascii="宋体" w:hAnsi="宋体" w:eastAsia="宋体" w:cs="宋体"/>
                <w:sz w:val="21"/>
                <w:szCs w:val="21"/>
              </w:rPr>
              <w:t xml:space="preserve">六十</w:t>
            </w:r>
            <w:r>
              <w:rPr>
                <w:rFonts w:hint="eastAsia" w:ascii="宋体" w:hAnsi="宋体" w:eastAsia="宋体" w:cs="宋体"/>
                <w:sz w:val="21"/>
                <w:szCs w:val="21"/>
                <w:lang w:eastAsia="en-US"/>
              </w:rPr>
              <w:t xml:space="preserve">天（日历天）</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6</w:t>
            </w:r>
            <w:r/>
          </w:p>
        </w:tc>
        <w:tc>
          <w:tcPr>
            <w:tcW w:w="1647" w:type="dxa"/>
            <w:vAlign w:val="center"/>
            <w:textDirection w:val="lrTb"/>
            <w:noWrap w:val="false"/>
          </w:tcPr>
          <w:p>
            <w:pPr>
              <w:spacing w:line="320" w:lineRule="exact"/>
              <w:rPr>
                <w:rFonts w:ascii="宋体" w:hAnsi="宋体" w:eastAsia="宋体" w:cs="宋体"/>
                <w:sz w:val="21"/>
                <w:szCs w:val="21"/>
                <w:lang w:eastAsia="en-US"/>
              </w:rPr>
            </w:pPr>
            <w:r>
              <w:rPr>
                <w:rFonts w:hint="eastAsia" w:ascii="宋体" w:hAnsi="宋体" w:eastAsia="宋体" w:cs="宋体"/>
                <w:sz w:val="21"/>
                <w:szCs w:val="21"/>
                <w:lang w:eastAsia="en-US"/>
              </w:rPr>
              <w:t xml:space="preserve">投标保证金</w:t>
            </w:r>
            <w:r/>
          </w:p>
        </w:tc>
        <w:tc>
          <w:tcPr>
            <w:tcW w:w="7580" w:type="dxa"/>
            <w:vAlign w:val="center"/>
            <w:textDirection w:val="lrTb"/>
            <w:noWrap w:val="false"/>
          </w:tcPr>
          <w:p>
            <w:pPr>
              <w:spacing w:line="320" w:lineRule="exact"/>
              <w:rPr>
                <w:rFonts w:ascii="宋体" w:hAnsi="宋体" w:eastAsia="宋体"/>
                <w:sz w:val="21"/>
                <w:szCs w:val="21"/>
              </w:rPr>
            </w:pPr>
            <w:r>
              <w:rPr>
                <w:rFonts w:hint="eastAsia" w:ascii="宋体" w:hAnsi="宋体" w:eastAsia="宋体"/>
                <w:sz w:val="21"/>
                <w:szCs w:val="21"/>
              </w:rPr>
              <w:t xml:space="preserve">无</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position w:val="6"/>
                <w:sz w:val="21"/>
                <w:szCs w:val="21"/>
              </w:rPr>
            </w:pPr>
            <w:r>
              <w:rPr>
                <w:rFonts w:hint="eastAsia" w:ascii="宋体" w:hAnsi="宋体" w:eastAsia="宋体" w:cs="等线"/>
                <w:sz w:val="21"/>
                <w:szCs w:val="21"/>
              </w:rPr>
              <w:t xml:space="preserve">7</w:t>
            </w:r>
            <w:r/>
          </w:p>
        </w:tc>
        <w:tc>
          <w:tcPr>
            <w:tcW w:w="1647" w:type="dxa"/>
            <w:vAlign w:val="center"/>
            <w:textDirection w:val="lrTb"/>
            <w:noWrap w:val="false"/>
          </w:tcPr>
          <w:p>
            <w:pPr>
              <w:spacing w:line="320" w:lineRule="exact"/>
              <w:rPr>
                <w:rFonts w:ascii="宋体" w:hAnsi="宋体" w:eastAsia="宋体" w:cs="等线"/>
                <w:position w:val="6"/>
                <w:sz w:val="21"/>
                <w:szCs w:val="21"/>
              </w:rPr>
            </w:pPr>
            <w:r>
              <w:rPr>
                <w:rFonts w:hint="eastAsia" w:ascii="宋体" w:hAnsi="宋体" w:eastAsia="宋体" w:cs="等线"/>
                <w:sz w:val="21"/>
                <w:szCs w:val="21"/>
              </w:rPr>
              <w:t xml:space="preserve">报名截止时间</w:t>
            </w:r>
            <w:r/>
          </w:p>
        </w:tc>
        <w:tc>
          <w:tcPr>
            <w:tcW w:w="7580" w:type="dxa"/>
            <w:vAlign w:val="center"/>
            <w:textDirection w:val="lrTb"/>
            <w:noWrap w:val="false"/>
          </w:tcPr>
          <w:p>
            <w:r/>
            <w:r>
              <w:rPr>
                <w:rFonts w:ascii="SimSun" w:hAnsi="SimSun" w:eastAsia="SimSun" w:cs="SimSun"/>
                <w:color w:val="000000"/>
                <w:sz w:val="21"/>
              </w:rPr>
              <w:t xml:space="preserve">2025年12月29日</w:t>
            </w:r>
            <w:r/>
            <w:r>
              <w:rPr>
                <w:rFonts w:ascii="SimSun" w:hAnsi="SimSun" w:eastAsia="SimSun" w:cs="SimSun"/>
                <w:sz w:val="21"/>
              </w:rPr>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8</w:t>
            </w:r>
            <w:r/>
          </w:p>
        </w:tc>
        <w:tc>
          <w:tcPr>
            <w:tcW w:w="1647"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rPr>
              <w:t xml:space="preserve">投标文件网上</w:t>
            </w:r>
            <w:r/>
          </w:p>
          <w:p>
            <w:pPr>
              <w:spacing w:line="320" w:lineRule="exact"/>
              <w:rPr>
                <w:rFonts w:ascii="宋体" w:hAnsi="宋体" w:eastAsia="宋体" w:cs="等线"/>
                <w:sz w:val="21"/>
                <w:szCs w:val="21"/>
              </w:rPr>
            </w:pPr>
            <w:r>
              <w:rPr>
                <w:rFonts w:hint="eastAsia" w:ascii="宋体" w:hAnsi="宋体" w:eastAsia="宋体" w:cs="等线"/>
                <w:sz w:val="21"/>
                <w:szCs w:val="21"/>
              </w:rPr>
              <w:t xml:space="preserve">提交截止时间</w:t>
            </w:r>
            <w:r/>
          </w:p>
        </w:tc>
        <w:tc>
          <w:tcPr>
            <w:tcW w:w="7580"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highlight w:val="yellow"/>
              </w:rPr>
            </w:r>
            <w:r>
              <w:rPr>
                <w:rFonts w:ascii="SimSun" w:hAnsi="SimSun" w:eastAsia="SimSun" w:cs="SimSun"/>
                <w:color w:val="000000"/>
                <w:sz w:val="21"/>
              </w:rPr>
              <w:t xml:space="preserve">2026年1月14日</w:t>
            </w:r>
            <w:r>
              <w:rPr>
                <w:rFonts w:hint="eastAsia" w:ascii="宋体" w:hAnsi="宋体" w:eastAsia="宋体" w:cs="等线"/>
                <w:sz w:val="21"/>
                <w:szCs w:val="21"/>
                <w:highlight w:val="yellow"/>
              </w:rPr>
            </w:r>
            <w:r>
              <w:rPr>
                <w:rFonts w:ascii="宋体" w:hAnsi="宋体" w:eastAsia="宋体" w:cs="等线"/>
                <w:sz w:val="21"/>
                <w:szCs w:val="21"/>
              </w:rPr>
              <w:t xml:space="preserve">13</w:t>
            </w:r>
            <w:r>
              <w:rPr>
                <w:rFonts w:hint="eastAsia" w:ascii="宋体" w:hAnsi="宋体" w:eastAsia="宋体" w:cs="等线"/>
                <w:sz w:val="21"/>
                <w:szCs w:val="21"/>
              </w:rPr>
              <w:t xml:space="preserve">点30分（北京时间）</w:t>
            </w:r>
            <w:r/>
          </w:p>
          <w:p>
            <w:pPr>
              <w:spacing w:line="320" w:lineRule="exact"/>
              <w:rPr>
                <w:rFonts w:ascii="宋体" w:hAnsi="宋体" w:eastAsia="宋体" w:cs="等线"/>
                <w:bCs/>
                <w:sz w:val="21"/>
                <w:szCs w:val="21"/>
              </w:rPr>
            </w:pPr>
            <w:r>
              <w:rPr>
                <w:rFonts w:hint="eastAsia" w:ascii="宋体" w:hAnsi="宋体" w:eastAsia="宋体" w:cs="等线"/>
                <w:sz w:val="21"/>
                <w:szCs w:val="21"/>
              </w:rPr>
              <w:t xml:space="preserve">投标文件必须在截止时间前完成提交（上传），逾期提交（上传）的投标文件恕不接受。</w:t>
            </w:r>
            <w:r/>
          </w:p>
        </w:tc>
      </w:tr>
      <w:tr>
        <w:trPr>
          <w:jc w:val="center"/>
          <w:trHeight w:val="59"/>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9</w:t>
            </w:r>
            <w:r/>
          </w:p>
        </w:tc>
        <w:tc>
          <w:tcPr>
            <w:tcW w:w="1647"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rPr>
              <w:t xml:space="preserve">开标时间</w:t>
            </w:r>
            <w:r/>
          </w:p>
          <w:p>
            <w:pPr>
              <w:spacing w:line="320" w:lineRule="exact"/>
              <w:rPr>
                <w:rFonts w:ascii="宋体" w:hAnsi="宋体" w:eastAsia="宋体" w:cs="等线"/>
                <w:sz w:val="21"/>
                <w:szCs w:val="21"/>
                <w:lang w:eastAsia="en-US"/>
              </w:rPr>
            </w:pPr>
            <w:r>
              <w:rPr>
                <w:rFonts w:hint="eastAsia" w:ascii="宋体" w:hAnsi="宋体" w:eastAsia="宋体" w:cs="等线"/>
                <w:sz w:val="21"/>
                <w:szCs w:val="21"/>
              </w:rPr>
              <w:t xml:space="preserve">开标地点</w:t>
            </w:r>
            <w:r/>
          </w:p>
        </w:tc>
        <w:tc>
          <w:tcPr>
            <w:tcW w:w="7580"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highlight w:val="yellow"/>
              </w:rPr>
            </w:r>
            <w:r>
              <w:rPr>
                <w:rFonts w:ascii="SimSun" w:hAnsi="SimSun" w:eastAsia="SimSun" w:cs="SimSun"/>
                <w:color w:val="000000"/>
                <w:sz w:val="21"/>
              </w:rPr>
              <w:t xml:space="preserve">2026年1月14日</w:t>
            </w:r>
            <w:r>
              <w:rPr>
                <w:rFonts w:hint="eastAsia" w:ascii="宋体" w:hAnsi="宋体" w:eastAsia="宋体" w:cs="等线"/>
                <w:sz w:val="21"/>
                <w:szCs w:val="21"/>
                <w:highlight w:val="yellow"/>
              </w:rPr>
            </w:r>
            <w:r>
              <w:rPr>
                <w:rFonts w:ascii="宋体" w:hAnsi="宋体" w:eastAsia="宋体" w:cs="等线"/>
                <w:sz w:val="21"/>
                <w:szCs w:val="21"/>
              </w:rPr>
              <w:t xml:space="preserve">13</w:t>
            </w:r>
            <w:r>
              <w:rPr>
                <w:rFonts w:hint="eastAsia" w:ascii="宋体" w:hAnsi="宋体" w:eastAsia="宋体" w:cs="等线"/>
                <w:sz w:val="21"/>
                <w:szCs w:val="21"/>
              </w:rPr>
              <w:t xml:space="preserve">点30分（北京时间）</w:t>
            </w:r>
            <w:r/>
          </w:p>
          <w:p>
            <w:pPr>
              <w:spacing w:line="320" w:lineRule="exact"/>
              <w:rPr>
                <w:rFonts w:ascii="宋体" w:hAnsi="宋体" w:eastAsia="宋体" w:cs="等线"/>
                <w:sz w:val="21"/>
                <w:szCs w:val="21"/>
              </w:rPr>
            </w:pPr>
            <w:r>
              <w:rPr>
                <w:rFonts w:hint="eastAsia" w:ascii="宋体" w:hAnsi="宋体" w:eastAsia="宋体" w:cs="等线"/>
                <w:sz w:val="21"/>
                <w:szCs w:val="21"/>
              </w:rPr>
              <w:t xml:space="preserve">“苏采云”系统（网址：http://jszfcg.jsczt.cn/）</w:t>
            </w:r>
            <w:r/>
          </w:p>
          <w:p>
            <w:pPr>
              <w:spacing w:line="320" w:lineRule="exact"/>
              <w:rPr>
                <w:rFonts w:ascii="宋体" w:hAnsi="宋体" w:eastAsia="宋体" w:cs="等线"/>
                <w:sz w:val="21"/>
                <w:szCs w:val="21"/>
              </w:rPr>
            </w:pPr>
            <w:r>
              <w:rPr>
                <w:rFonts w:hint="eastAsia" w:ascii="宋体" w:hAnsi="宋体" w:eastAsia="宋体" w:cs="等线"/>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10</w:t>
            </w:r>
            <w:r/>
          </w:p>
        </w:tc>
        <w:tc>
          <w:tcPr>
            <w:tcW w:w="1647"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rPr>
              <w:t xml:space="preserve">评标时间</w:t>
            </w:r>
            <w:r/>
          </w:p>
          <w:p>
            <w:pPr>
              <w:spacing w:line="320" w:lineRule="exact"/>
              <w:rPr>
                <w:rFonts w:ascii="宋体" w:hAnsi="宋体" w:eastAsia="宋体" w:cs="等线"/>
                <w:sz w:val="21"/>
                <w:szCs w:val="21"/>
                <w:lang w:eastAsia="en-US"/>
              </w:rPr>
            </w:pPr>
            <w:r>
              <w:rPr>
                <w:rFonts w:hint="eastAsia" w:ascii="宋体" w:hAnsi="宋体" w:eastAsia="宋体" w:cs="等线"/>
                <w:sz w:val="21"/>
                <w:szCs w:val="21"/>
              </w:rPr>
              <w:t xml:space="preserve">评标地点</w:t>
            </w:r>
            <w:r/>
          </w:p>
        </w:tc>
        <w:tc>
          <w:tcPr>
            <w:tcW w:w="7580"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highlight w:val="yellow"/>
              </w:rPr>
            </w:r>
            <w:r>
              <w:rPr>
                <w:rFonts w:ascii="SimSun" w:hAnsi="SimSun" w:eastAsia="SimSun" w:cs="SimSun"/>
                <w:color w:val="000000"/>
                <w:sz w:val="21"/>
              </w:rPr>
              <w:t xml:space="preserve">2026年1月14日</w:t>
            </w:r>
            <w:r>
              <w:rPr>
                <w:rFonts w:hint="eastAsia" w:ascii="宋体" w:hAnsi="宋体" w:eastAsia="宋体" w:cs="等线"/>
                <w:sz w:val="21"/>
                <w:szCs w:val="21"/>
                <w:highlight w:val="yellow"/>
              </w:rPr>
            </w:r>
            <w:r>
              <w:rPr>
                <w:rFonts w:ascii="宋体" w:hAnsi="宋体" w:eastAsia="宋体" w:cs="等线"/>
                <w:sz w:val="21"/>
                <w:szCs w:val="21"/>
              </w:rPr>
              <w:t xml:space="preserve">13</w:t>
            </w:r>
            <w:r>
              <w:rPr>
                <w:rFonts w:hint="eastAsia" w:ascii="宋体" w:hAnsi="宋体" w:eastAsia="宋体" w:cs="等线"/>
                <w:sz w:val="21"/>
                <w:szCs w:val="21"/>
              </w:rPr>
              <w:t xml:space="preserve">点30分（北京时间）</w:t>
            </w:r>
            <w:r/>
          </w:p>
          <w:p>
            <w:pPr>
              <w:spacing w:line="320" w:lineRule="exact"/>
              <w:rPr>
                <w:rFonts w:ascii="宋体" w:hAnsi="宋体" w:eastAsia="宋体" w:cs="等线"/>
                <w:sz w:val="21"/>
                <w:szCs w:val="21"/>
              </w:rPr>
            </w:pPr>
            <w:r>
              <w:rPr>
                <w:rFonts w:hint="eastAsia" w:ascii="宋体" w:hAnsi="宋体" w:eastAsia="宋体" w:cs="等线"/>
                <w:sz w:val="21"/>
                <w:szCs w:val="21"/>
              </w:rPr>
              <w:t xml:space="preserve">苏州市相城区市民服务中心3号楼二楼（苏州市相城区采莲路1788号） </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11</w:t>
            </w:r>
            <w:r/>
          </w:p>
        </w:tc>
        <w:tc>
          <w:tcPr>
            <w:tcW w:w="1647" w:type="dxa"/>
            <w:vAlign w:val="center"/>
            <w:textDirection w:val="lrTb"/>
            <w:noWrap w:val="false"/>
          </w:tcPr>
          <w:p>
            <w:pPr>
              <w:spacing w:line="320" w:lineRule="exact"/>
              <w:rPr>
                <w:rFonts w:ascii="宋体" w:hAnsi="宋体" w:eastAsia="宋体" w:cs="等线"/>
                <w:sz w:val="21"/>
                <w:szCs w:val="21"/>
                <w:lang w:eastAsia="en-US"/>
              </w:rPr>
            </w:pPr>
            <w:r>
              <w:rPr>
                <w:rFonts w:hint="eastAsia" w:ascii="宋体" w:hAnsi="宋体" w:eastAsia="宋体" w:cs="等线"/>
                <w:sz w:val="21"/>
                <w:szCs w:val="21"/>
              </w:rPr>
              <w:t xml:space="preserve">投标文件份数</w:t>
            </w:r>
            <w:r/>
          </w:p>
        </w:tc>
        <w:tc>
          <w:tcPr>
            <w:tcW w:w="7580" w:type="dxa"/>
            <w:vAlign w:val="center"/>
            <w:textDirection w:val="lrTb"/>
            <w:noWrap w:val="false"/>
          </w:tcPr>
          <w:p>
            <w:pPr>
              <w:spacing w:line="320" w:lineRule="exact"/>
              <w:tabs>
                <w:tab w:val="left" w:pos="3600" w:leader="none"/>
              </w:tabs>
              <w:rPr>
                <w:rFonts w:ascii="宋体" w:hAnsi="宋体" w:eastAsia="宋体" w:cs="宋体"/>
                <w:sz w:val="21"/>
                <w:szCs w:val="21"/>
              </w:rPr>
            </w:pPr>
            <w:r>
              <w:rPr>
                <w:rFonts w:hint="eastAsia" w:ascii="宋体" w:hAnsi="宋体" w:eastAsia="宋体" w:cs="宋体"/>
                <w:sz w:val="21"/>
                <w:szCs w:val="21"/>
              </w:rPr>
              <w:t xml:space="preserve">本项目采用电子投标文件，供应商按照招标文件要求制作上传电子投标文件，供应商中标后需提供与电子投标文件一致的纸质响应文件一正二副。</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12</w:t>
            </w:r>
            <w:r/>
          </w:p>
        </w:tc>
        <w:tc>
          <w:tcPr>
            <w:tcW w:w="1647" w:type="dxa"/>
            <w:vAlign w:val="center"/>
            <w:textDirection w:val="lrTb"/>
            <w:noWrap w:val="false"/>
          </w:tcPr>
          <w:p>
            <w:pPr>
              <w:spacing w:line="320" w:lineRule="exact"/>
              <w:rPr>
                <w:rFonts w:ascii="宋体" w:hAnsi="宋体" w:eastAsia="宋体" w:cs="等线"/>
                <w:sz w:val="21"/>
                <w:szCs w:val="21"/>
                <w:lang w:eastAsia="en-US"/>
              </w:rPr>
            </w:pPr>
            <w:r>
              <w:rPr>
                <w:rFonts w:hint="eastAsia" w:ascii="宋体" w:hAnsi="宋体" w:eastAsia="宋体" w:cs="等线"/>
                <w:sz w:val="21"/>
                <w:szCs w:val="21"/>
              </w:rPr>
              <w:t xml:space="preserve">投标报价本位币</w:t>
            </w:r>
            <w:r/>
          </w:p>
        </w:tc>
        <w:tc>
          <w:tcPr>
            <w:tcW w:w="7580"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rPr>
              <w:t xml:space="preserve">人民币</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13</w:t>
            </w:r>
            <w:r/>
          </w:p>
        </w:tc>
        <w:tc>
          <w:tcPr>
            <w:tcW w:w="1647" w:type="dxa"/>
            <w:vAlign w:val="center"/>
            <w:textDirection w:val="lrTb"/>
            <w:noWrap w:val="false"/>
          </w:tcPr>
          <w:p>
            <w:pPr>
              <w:spacing w:line="320" w:lineRule="exact"/>
              <w:rPr>
                <w:rFonts w:ascii="宋体" w:hAnsi="宋体" w:eastAsia="宋体" w:cs="等线"/>
                <w:sz w:val="21"/>
                <w:szCs w:val="21"/>
                <w:lang w:eastAsia="en-US"/>
              </w:rPr>
            </w:pPr>
            <w:r>
              <w:rPr>
                <w:rFonts w:hint="eastAsia" w:ascii="宋体" w:hAnsi="宋体" w:eastAsia="宋体" w:cs="等线"/>
                <w:sz w:val="21"/>
                <w:szCs w:val="21"/>
              </w:rPr>
              <w:t xml:space="preserve">履约保证金</w:t>
            </w:r>
            <w:r/>
          </w:p>
        </w:tc>
        <w:tc>
          <w:tcPr>
            <w:tcW w:w="7580"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rPr>
              <w:t xml:space="preserve">无</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14</w:t>
            </w:r>
            <w:r/>
          </w:p>
        </w:tc>
        <w:tc>
          <w:tcPr>
            <w:tcW w:w="1647" w:type="dxa"/>
            <w:vAlign w:val="center"/>
            <w:textDirection w:val="lrTb"/>
            <w:noWrap w:val="false"/>
          </w:tcPr>
          <w:p>
            <w:pPr>
              <w:spacing w:line="320" w:lineRule="exact"/>
              <w:rPr>
                <w:rFonts w:ascii="宋体" w:hAnsi="宋体" w:eastAsia="宋体" w:cs="等线"/>
                <w:sz w:val="21"/>
                <w:szCs w:val="21"/>
                <w:lang w:eastAsia="en-US"/>
              </w:rPr>
            </w:pPr>
            <w:r>
              <w:rPr>
                <w:rFonts w:hint="eastAsia" w:ascii="宋体" w:hAnsi="宋体" w:eastAsia="宋体" w:cs="等线"/>
                <w:sz w:val="21"/>
                <w:szCs w:val="21"/>
              </w:rPr>
              <w:t xml:space="preserve">中标通知书</w:t>
            </w:r>
            <w:r/>
          </w:p>
        </w:tc>
        <w:tc>
          <w:tcPr>
            <w:tcW w:w="7580" w:type="dxa"/>
            <w:vAlign w:val="center"/>
            <w:textDirection w:val="lrTb"/>
            <w:noWrap w:val="false"/>
          </w:tcPr>
          <w:p>
            <w:pPr>
              <w:spacing w:line="320" w:lineRule="exact"/>
              <w:tabs>
                <w:tab w:val="left" w:pos="3600" w:leader="none"/>
              </w:tabs>
              <w:rPr>
                <w:rFonts w:ascii="宋体" w:hAnsi="宋体" w:eastAsia="宋体" w:cs="宋体"/>
                <w:sz w:val="21"/>
                <w:szCs w:val="21"/>
              </w:rPr>
            </w:pPr>
            <w:r>
              <w:rPr>
                <w:rFonts w:hint="eastAsia" w:ascii="宋体" w:hAnsi="宋体" w:eastAsia="宋体" w:cs="宋体"/>
                <w:sz w:val="21"/>
                <w:szCs w:val="21"/>
              </w:rPr>
              <w:t xml:space="preserve">确定出中标人后，采购代理机构在法定时间内向中标人发出中标通知书。中标通知书将成为合同的组成部分。</w:t>
            </w:r>
            <w:r/>
          </w:p>
          <w:p>
            <w:pPr>
              <w:spacing w:line="320" w:lineRule="exact"/>
              <w:tabs>
                <w:tab w:val="left" w:pos="3600" w:leader="none"/>
              </w:tabs>
              <w:rPr>
                <w:rFonts w:ascii="宋体" w:hAnsi="宋体" w:eastAsia="宋体" w:cs="宋体"/>
                <w:sz w:val="21"/>
                <w:szCs w:val="21"/>
              </w:rPr>
            </w:pPr>
            <w:r>
              <w:rPr>
                <w:rFonts w:hint="eastAsia" w:ascii="宋体" w:hAnsi="宋体" w:eastAsia="宋体" w:cs="宋体"/>
                <w:b/>
                <w:bCs/>
                <w:sz w:val="21"/>
                <w:szCs w:val="21"/>
              </w:rPr>
              <w:t xml:space="preserve">请中标人在中标结果公告届满之日起30日内,使用CA证书登录“苏采云”系统及时下载中标通知书。</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15</w:t>
            </w:r>
            <w:r/>
          </w:p>
        </w:tc>
        <w:tc>
          <w:tcPr>
            <w:tcW w:w="1647" w:type="dxa"/>
            <w:vAlign w:val="center"/>
            <w:textDirection w:val="lrTb"/>
            <w:noWrap w:val="false"/>
          </w:tcPr>
          <w:p>
            <w:pPr>
              <w:jc w:val="left"/>
              <w:spacing w:line="320" w:lineRule="exact"/>
              <w:rPr>
                <w:rFonts w:ascii="宋体" w:hAnsi="宋体" w:eastAsia="宋体" w:cs="等线"/>
                <w:sz w:val="21"/>
                <w:szCs w:val="21"/>
                <w:lang w:eastAsia="en-US"/>
              </w:rPr>
            </w:pPr>
            <w:r>
              <w:rPr>
                <w:rFonts w:hint="eastAsia" w:ascii="宋体" w:hAnsi="宋体" w:eastAsia="宋体" w:cs="等线"/>
                <w:sz w:val="21"/>
                <w:szCs w:val="21"/>
                <w:lang w:eastAsia="en-US"/>
              </w:rPr>
              <w:t xml:space="preserve">中标服务费</w:t>
            </w:r>
            <w:r/>
          </w:p>
        </w:tc>
        <w:tc>
          <w:tcPr>
            <w:tcW w:w="7580" w:type="dxa"/>
            <w:vAlign w:val="center"/>
            <w:textDirection w:val="lrTb"/>
            <w:noWrap w:val="false"/>
          </w:tcPr>
          <w:p>
            <w:pPr>
              <w:ind w:right="-159"/>
              <w:spacing w:line="320" w:lineRule="exact"/>
              <w:rPr>
                <w:rFonts w:ascii="宋体" w:hAnsi="宋体" w:eastAsia="宋体" w:cs="等线"/>
                <w:sz w:val="21"/>
                <w:szCs w:val="21"/>
                <w:lang w:val="zh-CN"/>
              </w:rPr>
            </w:pPr>
            <w:r>
              <w:rPr>
                <w:rFonts w:hint="eastAsia" w:ascii="宋体" w:hAnsi="宋体" w:eastAsia="宋体" w:cs="等线"/>
                <w:sz w:val="21"/>
                <w:szCs w:val="21"/>
                <w:lang w:val="zh-CN"/>
              </w:rPr>
              <w:t xml:space="preserve">领取中标通知书时各标段中标人向采购代理机构一次性付清，三标段代理费为：2</w:t>
            </w:r>
            <w:r>
              <w:rPr>
                <w:rFonts w:ascii="宋体" w:hAnsi="宋体" w:eastAsia="宋体" w:cs="等线"/>
                <w:sz w:val="21"/>
                <w:szCs w:val="21"/>
                <w:lang w:val="zh-CN"/>
              </w:rPr>
              <w:t xml:space="preserve">3149</w:t>
            </w:r>
            <w:r>
              <w:rPr>
                <w:rFonts w:hint="eastAsia" w:ascii="宋体" w:hAnsi="宋体" w:eastAsia="宋体" w:cs="等线"/>
                <w:sz w:val="21"/>
                <w:szCs w:val="21"/>
                <w:lang w:val="zh-CN"/>
              </w:rPr>
              <w:t xml:space="preserve">元（供应商所投报价应当包含该项目代理服务费）：</w:t>
            </w:r>
            <w:r/>
          </w:p>
          <w:p>
            <w:pPr>
              <w:ind w:right="-159"/>
              <w:spacing w:line="320" w:lineRule="exact"/>
              <w:rPr>
                <w:rFonts w:ascii="宋体" w:hAnsi="宋体" w:eastAsia="宋体" w:cs="等线"/>
                <w:sz w:val="21"/>
                <w:szCs w:val="21"/>
                <w:lang w:val="zh-CN"/>
              </w:rPr>
            </w:pPr>
            <w:r>
              <w:rPr>
                <w:rFonts w:hint="eastAsia" w:ascii="宋体" w:hAnsi="宋体" w:eastAsia="宋体" w:cs="等线"/>
                <w:sz w:val="21"/>
                <w:szCs w:val="21"/>
                <w:lang w:val="zh-CN"/>
              </w:rPr>
              <w:t xml:space="preserve">预算金额100万以下费率为预算金额的1.5%；预算金额100万（含）-500万费率为预算金额的1.1%；预算金额500万（含）-1000万费率为预算金额的0.8%；1000万元（含）-5000万元费率为预算金额的0.5%，按差额定率累进法计算并支付中标服务费。</w:t>
            </w:r>
            <w:r/>
          </w:p>
          <w:p>
            <w:pPr>
              <w:ind w:right="-159"/>
              <w:spacing w:line="320" w:lineRule="exact"/>
              <w:rPr>
                <w:rFonts w:ascii="宋体" w:hAnsi="宋体" w:eastAsia="宋体" w:cs="等线"/>
                <w:sz w:val="21"/>
                <w:szCs w:val="21"/>
                <w:lang w:val="zh-CN"/>
              </w:rPr>
            </w:pPr>
            <w:r>
              <w:rPr>
                <w:rFonts w:hint="eastAsia" w:ascii="宋体" w:hAnsi="宋体" w:eastAsia="宋体" w:cs="等线"/>
                <w:sz w:val="21"/>
                <w:szCs w:val="21"/>
                <w:lang w:val="zh-CN"/>
              </w:rPr>
              <w:t xml:space="preserve">账 户 名：苏州公正建设咨询房地产评估有限公司黄埭分公司</w:t>
            </w:r>
            <w:r/>
          </w:p>
          <w:p>
            <w:pPr>
              <w:ind w:right="-159"/>
              <w:spacing w:line="320" w:lineRule="exact"/>
              <w:rPr>
                <w:rFonts w:ascii="宋体" w:hAnsi="宋体" w:eastAsia="宋体" w:cs="等线"/>
                <w:sz w:val="21"/>
                <w:szCs w:val="21"/>
                <w:lang w:val="zh-CN"/>
              </w:rPr>
            </w:pPr>
            <w:r>
              <w:rPr>
                <w:rFonts w:hint="eastAsia" w:ascii="宋体" w:hAnsi="宋体" w:eastAsia="宋体" w:cs="等线"/>
                <w:sz w:val="21"/>
                <w:szCs w:val="21"/>
                <w:lang w:val="zh-CN"/>
              </w:rPr>
              <w:t xml:space="preserve">开户银行：平安银行苏州分行营业部</w:t>
            </w:r>
            <w:r/>
          </w:p>
          <w:p>
            <w:pPr>
              <w:spacing w:line="320" w:lineRule="exact"/>
              <w:rPr>
                <w:rFonts w:ascii="宋体" w:hAnsi="宋体" w:eastAsia="宋体" w:cs="等线"/>
                <w:sz w:val="21"/>
                <w:szCs w:val="21"/>
              </w:rPr>
            </w:pPr>
            <w:r>
              <w:rPr>
                <w:rFonts w:hint="eastAsia" w:ascii="宋体" w:hAnsi="宋体" w:eastAsia="宋体" w:cs="等线"/>
                <w:sz w:val="21"/>
                <w:szCs w:val="21"/>
                <w:lang w:val="zh-CN"/>
              </w:rPr>
              <w:t xml:space="preserve">账   号：</w:t>
            </w:r>
            <w:r>
              <w:rPr>
                <w:rFonts w:ascii="宋体" w:hAnsi="宋体" w:eastAsia="宋体" w:cs="等线"/>
                <w:sz w:val="21"/>
                <w:szCs w:val="21"/>
                <w:lang w:val="zh-CN"/>
              </w:rPr>
              <w:t xml:space="preserve">15300917870082</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16</w:t>
            </w:r>
            <w:r/>
          </w:p>
        </w:tc>
        <w:tc>
          <w:tcPr>
            <w:tcW w:w="1647" w:type="dxa"/>
            <w:vAlign w:val="center"/>
            <w:textDirection w:val="lrTb"/>
            <w:noWrap w:val="false"/>
          </w:tcPr>
          <w:p>
            <w:pPr>
              <w:jc w:val="left"/>
              <w:spacing w:line="320" w:lineRule="exact"/>
              <w:rPr>
                <w:rFonts w:ascii="宋体" w:hAnsi="宋体" w:eastAsia="宋体" w:cs="等线"/>
                <w:sz w:val="21"/>
                <w:szCs w:val="21"/>
              </w:rPr>
            </w:pPr>
            <w:r>
              <w:rPr>
                <w:rFonts w:hint="eastAsia" w:ascii="宋体" w:hAnsi="宋体" w:eastAsia="宋体" w:cs="等线"/>
                <w:sz w:val="21"/>
                <w:szCs w:val="21"/>
                <w:lang w:eastAsia="en-US"/>
              </w:rPr>
              <w:t xml:space="preserve">评分标准</w:t>
            </w:r>
            <w:r/>
          </w:p>
        </w:tc>
        <w:tc>
          <w:tcPr>
            <w:tcW w:w="7580"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rPr>
              <w:t xml:space="preserve">详见第六章评分标准。</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rPr>
            </w:pPr>
            <w:r>
              <w:rPr>
                <w:rFonts w:hint="eastAsia" w:ascii="宋体" w:hAnsi="宋体" w:eastAsia="宋体" w:cs="等线"/>
                <w:sz w:val="21"/>
                <w:szCs w:val="21"/>
              </w:rPr>
              <w:t xml:space="preserve">17</w:t>
            </w:r>
            <w:r/>
          </w:p>
        </w:tc>
        <w:tc>
          <w:tcPr>
            <w:tcW w:w="1647" w:type="dxa"/>
            <w:vAlign w:val="center"/>
            <w:textDirection w:val="lrTb"/>
            <w:noWrap w:val="false"/>
          </w:tcPr>
          <w:p>
            <w:pPr>
              <w:jc w:val="left"/>
              <w:spacing w:line="320" w:lineRule="exact"/>
              <w:rPr>
                <w:rFonts w:ascii="宋体" w:hAnsi="宋体" w:eastAsia="宋体" w:cs="等线"/>
                <w:sz w:val="21"/>
                <w:szCs w:val="21"/>
                <w:lang w:eastAsia="en-US"/>
              </w:rPr>
            </w:pPr>
            <w:r>
              <w:rPr>
                <w:rFonts w:hint="eastAsia" w:ascii="宋体" w:hAnsi="宋体" w:eastAsia="宋体" w:cs="等线"/>
                <w:sz w:val="21"/>
                <w:szCs w:val="21"/>
                <w:lang w:eastAsia="en-US"/>
              </w:rPr>
              <w:t xml:space="preserve">评标方法</w:t>
            </w:r>
            <w:r/>
          </w:p>
        </w:tc>
        <w:tc>
          <w:tcPr>
            <w:tcW w:w="7580" w:type="dxa"/>
            <w:vAlign w:val="center"/>
            <w:textDirection w:val="lrTb"/>
            <w:noWrap w:val="false"/>
          </w:tcPr>
          <w:p>
            <w:pPr>
              <w:spacing w:line="320" w:lineRule="exact"/>
              <w:rPr>
                <w:rFonts w:ascii="宋体" w:hAnsi="宋体" w:eastAsia="宋体" w:cs="等线"/>
                <w:sz w:val="21"/>
                <w:szCs w:val="21"/>
              </w:rPr>
            </w:pPr>
            <w:r>
              <w:rPr>
                <w:rFonts w:hint="eastAsia" w:ascii="宋体" w:hAnsi="宋体" w:eastAsia="宋体" w:cs="等线"/>
                <w:sz w:val="21"/>
                <w:szCs w:val="21"/>
              </w:rPr>
              <w:t xml:space="preserve">用综合评分方法得分最高的投标单位为中标单位。</w:t>
            </w:r>
            <w:r/>
          </w:p>
        </w:tc>
      </w:tr>
    </w:tbl>
    <w:p>
      <w:pPr>
        <w:jc w:val="center"/>
        <w:spacing w:line="360" w:lineRule="auto"/>
        <w:rPr>
          <w:rFonts w:ascii="宋体" w:hAnsi="宋体" w:eastAsia="宋体"/>
          <w:b/>
          <w:sz w:val="48"/>
          <w:szCs w:val="48"/>
        </w:rPr>
      </w:pPr>
      <w:r>
        <w:rPr>
          <w:rFonts w:hint="eastAsia" w:ascii="宋体" w:hAnsi="宋体" w:eastAsia="宋体" w:cs="宋体"/>
          <w:sz w:val="32"/>
          <w:szCs w:val="32"/>
        </w:rPr>
        <w:br w:type="page" w:clear="all"/>
      </w:r>
      <w:bookmarkStart w:id="1" w:name="_Toc492294163"/>
      <w:r>
        <w:rPr>
          <w:rFonts w:hint="eastAsia" w:ascii="宋体" w:hAnsi="宋体" w:eastAsia="宋体"/>
          <w:b/>
          <w:sz w:val="48"/>
          <w:szCs w:val="48"/>
        </w:rPr>
        <w:t xml:space="preserve">总目录</w:t>
      </w:r>
      <w:r/>
    </w:p>
    <w:p>
      <w:pPr>
        <w:pStyle w:val="733"/>
        <w:jc w:val="center"/>
        <w:rPr>
          <w:rFonts w:eastAsia="宋体"/>
          <w:color w:val="auto"/>
          <w:sz w:val="28"/>
          <w:szCs w:val="28"/>
        </w:rPr>
      </w:pPr>
      <w:r>
        <w:rPr>
          <w:rFonts w:hint="eastAsia" w:eastAsia="宋体"/>
          <w:color w:val="auto"/>
        </w:rPr>
        <w:fldChar w:fldCharType="begin"/>
      </w:r>
      <w:r>
        <w:rPr>
          <w:rFonts w:hint="eastAsia" w:eastAsia="宋体"/>
          <w:color w:val="auto"/>
          <w:sz w:val="28"/>
          <w:szCs w:val="28"/>
        </w:rPr>
        <w:instrText xml:space="preserve"> TOC \o "1-1" \h \z \u </w:instrText>
      </w:r>
      <w:r>
        <w:rPr>
          <w:rFonts w:hint="eastAsia" w:eastAsia="宋体"/>
          <w:color w:val="auto"/>
        </w:rPr>
        <w:fldChar w:fldCharType="separate"/>
      </w:r>
      <w:hyperlink r:id="rId11" w:tooltip="file:///C:\Users\Administrator\Desktop\实验室仪器购置\172466230323562ed39f435b74316b6d5937959752773阳澄湖派出所2024年食堂原材料供应采购文件.doc.doc#_Toc35951271" w:anchor="_Toc35951271" w:history="1">
        <w:r>
          <w:rPr>
            <w:rStyle w:val="752"/>
            <w:rFonts w:hint="eastAsia" w:eastAsia="宋体"/>
            <w:color w:val="auto"/>
            <w:sz w:val="28"/>
            <w:szCs w:val="28"/>
          </w:rPr>
          <w:t xml:space="preserve">第一章 招标公告</w:t>
        </w:r>
        <w:r>
          <w:rPr>
            <w:rStyle w:val="752"/>
            <w:rFonts w:hint="eastAsia" w:eastAsia="宋体"/>
            <w:color w:val="auto"/>
            <w:sz w:val="28"/>
            <w:szCs w:val="28"/>
          </w:rPr>
          <w:tab/>
        </w:r>
        <w:r>
          <w:rPr>
            <w:rStyle w:val="752"/>
            <w:rFonts w:hint="eastAsia" w:eastAsia="宋体"/>
            <w:color w:val="auto"/>
          </w:rPr>
          <w:fldChar w:fldCharType="begin"/>
        </w:r>
        <w:r>
          <w:rPr>
            <w:rStyle w:val="752"/>
            <w:rFonts w:hint="eastAsia" w:eastAsia="宋体"/>
            <w:color w:val="auto"/>
            <w:sz w:val="28"/>
            <w:szCs w:val="28"/>
          </w:rPr>
          <w:instrText xml:space="preserve"> PAGEREF _Toc35951271 \h </w:instrText>
        </w:r>
        <w:r>
          <w:rPr>
            <w:rStyle w:val="752"/>
            <w:rFonts w:hint="eastAsia" w:eastAsia="宋体"/>
            <w:color w:val="auto"/>
          </w:rPr>
        </w:r>
        <w:r>
          <w:rPr>
            <w:rStyle w:val="752"/>
            <w:rFonts w:hint="eastAsia" w:eastAsia="宋体"/>
            <w:color w:val="auto"/>
          </w:rPr>
          <w:fldChar w:fldCharType="separate"/>
        </w:r>
        <w:r>
          <w:rPr>
            <w:rStyle w:val="752"/>
            <w:rFonts w:eastAsia="宋体"/>
            <w:color w:val="auto"/>
            <w:sz w:val="28"/>
            <w:szCs w:val="28"/>
          </w:rPr>
          <w:t xml:space="preserve">5</w:t>
        </w:r>
        <w:r>
          <w:rPr>
            <w:rStyle w:val="752"/>
            <w:rFonts w:hint="eastAsia" w:eastAsia="宋体"/>
            <w:color w:val="auto"/>
          </w:rPr>
          <w:fldChar w:fldCharType="end"/>
        </w:r>
      </w:hyperlink>
      <w:r/>
      <w:r/>
    </w:p>
    <w:p>
      <w:pPr>
        <w:pStyle w:val="733"/>
        <w:jc w:val="center"/>
        <w:rPr>
          <w:rFonts w:eastAsia="宋体"/>
          <w:color w:val="auto"/>
          <w:sz w:val="28"/>
          <w:szCs w:val="28"/>
        </w:rPr>
      </w:pPr>
      <w:r/>
      <w:hyperlink r:id="rId12" w:tooltip="file:///C:\Users\Administrator\Desktop\实验室仪器购置\172466230323562ed39f435b74316b6d5937959752773阳澄湖派出所2024年食堂原材料供应采购文件.doc.doc#_Toc35951272" w:anchor="_Toc35951272" w:history="1">
        <w:r>
          <w:rPr>
            <w:rStyle w:val="752"/>
            <w:rFonts w:hint="eastAsia" w:eastAsia="宋体"/>
            <w:color w:val="auto"/>
            <w:sz w:val="28"/>
            <w:szCs w:val="28"/>
          </w:rPr>
          <w:t xml:space="preserve">第二章 投标人须知</w:t>
        </w:r>
        <w:r>
          <w:rPr>
            <w:rStyle w:val="752"/>
            <w:rFonts w:hint="eastAsia" w:eastAsia="宋体"/>
            <w:color w:val="auto"/>
            <w:sz w:val="28"/>
            <w:szCs w:val="28"/>
          </w:rPr>
          <w:tab/>
        </w:r>
        <w:r>
          <w:rPr>
            <w:rStyle w:val="752"/>
            <w:rFonts w:hint="eastAsia" w:eastAsia="宋体"/>
            <w:color w:val="auto"/>
          </w:rPr>
          <w:fldChar w:fldCharType="begin"/>
        </w:r>
        <w:r>
          <w:rPr>
            <w:rStyle w:val="752"/>
            <w:rFonts w:hint="eastAsia" w:eastAsia="宋体"/>
            <w:color w:val="auto"/>
            <w:sz w:val="28"/>
            <w:szCs w:val="28"/>
          </w:rPr>
          <w:instrText xml:space="preserve"> PAGEREF _Toc35951272 \h </w:instrText>
        </w:r>
        <w:r>
          <w:rPr>
            <w:rStyle w:val="752"/>
            <w:rFonts w:hint="eastAsia" w:eastAsia="宋体"/>
            <w:color w:val="auto"/>
          </w:rPr>
        </w:r>
        <w:r>
          <w:rPr>
            <w:rStyle w:val="752"/>
            <w:rFonts w:hint="eastAsia" w:eastAsia="宋体"/>
            <w:color w:val="auto"/>
          </w:rPr>
          <w:fldChar w:fldCharType="separate"/>
        </w:r>
        <w:r>
          <w:rPr>
            <w:rStyle w:val="752"/>
            <w:rFonts w:eastAsia="宋体"/>
            <w:color w:val="auto"/>
            <w:sz w:val="28"/>
            <w:szCs w:val="28"/>
          </w:rPr>
          <w:t xml:space="preserve">9</w:t>
        </w:r>
        <w:r>
          <w:rPr>
            <w:rStyle w:val="752"/>
            <w:rFonts w:hint="eastAsia" w:eastAsia="宋体"/>
            <w:color w:val="auto"/>
          </w:rPr>
          <w:fldChar w:fldCharType="end"/>
        </w:r>
      </w:hyperlink>
      <w:r/>
      <w:r/>
    </w:p>
    <w:p>
      <w:pPr>
        <w:pStyle w:val="733"/>
        <w:jc w:val="center"/>
        <w:rPr>
          <w:rFonts w:eastAsia="宋体"/>
          <w:color w:val="auto"/>
          <w:sz w:val="28"/>
          <w:szCs w:val="28"/>
        </w:rPr>
      </w:pPr>
      <w:r/>
      <w:hyperlink r:id="rId13" w:tooltip="file:///C:\Users\Administrator\Desktop\实验室仪器购置\172466230323562ed39f435b74316b6d5937959752773阳澄湖派出所2024年食堂原材料供应采购文件.doc.doc#_Toc35951273" w:anchor="_Toc35951273" w:history="1">
        <w:r>
          <w:rPr>
            <w:rStyle w:val="752"/>
            <w:rFonts w:hint="eastAsia" w:eastAsia="宋体"/>
            <w:color w:val="auto"/>
            <w:sz w:val="28"/>
            <w:szCs w:val="28"/>
          </w:rPr>
          <w:t xml:space="preserve">第三章 投标文件格式</w:t>
        </w:r>
        <w:r>
          <w:rPr>
            <w:rStyle w:val="752"/>
            <w:rFonts w:hint="eastAsia" w:eastAsia="宋体"/>
            <w:color w:val="auto"/>
            <w:sz w:val="28"/>
            <w:szCs w:val="28"/>
          </w:rPr>
          <w:tab/>
        </w:r>
        <w:r>
          <w:rPr>
            <w:rStyle w:val="752"/>
            <w:rFonts w:hint="eastAsia" w:eastAsia="宋体"/>
            <w:color w:val="auto"/>
          </w:rPr>
          <w:fldChar w:fldCharType="begin"/>
        </w:r>
        <w:r>
          <w:rPr>
            <w:rStyle w:val="752"/>
            <w:rFonts w:hint="eastAsia" w:eastAsia="宋体"/>
            <w:color w:val="auto"/>
            <w:sz w:val="28"/>
            <w:szCs w:val="28"/>
          </w:rPr>
          <w:instrText xml:space="preserve"> PAGEREF _Toc35951273 \h </w:instrText>
        </w:r>
        <w:r>
          <w:rPr>
            <w:rStyle w:val="752"/>
            <w:rFonts w:hint="eastAsia" w:eastAsia="宋体"/>
            <w:color w:val="auto"/>
          </w:rPr>
        </w:r>
        <w:r>
          <w:rPr>
            <w:rStyle w:val="752"/>
            <w:rFonts w:hint="eastAsia" w:eastAsia="宋体"/>
            <w:color w:val="auto"/>
          </w:rPr>
          <w:fldChar w:fldCharType="separate"/>
        </w:r>
        <w:r>
          <w:rPr>
            <w:rStyle w:val="752"/>
            <w:rFonts w:eastAsia="宋体"/>
            <w:color w:val="auto"/>
            <w:sz w:val="28"/>
            <w:szCs w:val="28"/>
          </w:rPr>
          <w:t xml:space="preserve">19</w:t>
        </w:r>
        <w:r>
          <w:rPr>
            <w:rStyle w:val="752"/>
            <w:rFonts w:hint="eastAsia" w:eastAsia="宋体"/>
            <w:color w:val="auto"/>
          </w:rPr>
          <w:fldChar w:fldCharType="end"/>
        </w:r>
      </w:hyperlink>
      <w:r/>
      <w:r/>
    </w:p>
    <w:p>
      <w:pPr>
        <w:pStyle w:val="733"/>
        <w:jc w:val="center"/>
        <w:rPr>
          <w:rFonts w:eastAsia="宋体"/>
          <w:color w:val="auto"/>
          <w:sz w:val="28"/>
          <w:szCs w:val="28"/>
        </w:rPr>
      </w:pPr>
      <w:r/>
      <w:hyperlink r:id="rId14" w:tooltip="file:///C:\Users\Administrator\Desktop\实验室仪器购置\172466230323562ed39f435b74316b6d5937959752773阳澄湖派出所2024年食堂原材料供应采购文件.doc.doc#_Toc35951274" w:anchor="_Toc35951274" w:history="1">
        <w:r>
          <w:rPr>
            <w:rStyle w:val="752"/>
            <w:rFonts w:hint="eastAsia" w:eastAsia="宋体"/>
            <w:color w:val="auto"/>
            <w:sz w:val="28"/>
            <w:szCs w:val="28"/>
          </w:rPr>
          <w:t xml:space="preserve">第四章 招标书</w:t>
        </w:r>
        <w:r>
          <w:rPr>
            <w:rStyle w:val="752"/>
            <w:rFonts w:hint="eastAsia" w:eastAsia="宋体"/>
            <w:color w:val="auto"/>
            <w:sz w:val="28"/>
            <w:szCs w:val="28"/>
          </w:rPr>
          <w:tab/>
        </w:r>
        <w:r>
          <w:rPr>
            <w:rStyle w:val="752"/>
            <w:rFonts w:hint="eastAsia" w:eastAsia="宋体"/>
            <w:color w:val="auto"/>
          </w:rPr>
          <w:fldChar w:fldCharType="begin"/>
        </w:r>
        <w:r>
          <w:rPr>
            <w:rStyle w:val="752"/>
            <w:rFonts w:hint="eastAsia" w:eastAsia="宋体"/>
            <w:color w:val="auto"/>
            <w:sz w:val="28"/>
            <w:szCs w:val="28"/>
          </w:rPr>
          <w:instrText xml:space="preserve"> PAGEREF _Toc35951274 \h </w:instrText>
        </w:r>
        <w:r>
          <w:rPr>
            <w:rStyle w:val="752"/>
            <w:rFonts w:hint="eastAsia" w:eastAsia="宋体"/>
            <w:color w:val="auto"/>
          </w:rPr>
        </w:r>
        <w:r>
          <w:rPr>
            <w:rStyle w:val="752"/>
            <w:rFonts w:hint="eastAsia" w:eastAsia="宋体"/>
            <w:color w:val="auto"/>
          </w:rPr>
          <w:fldChar w:fldCharType="separate"/>
        </w:r>
        <w:r>
          <w:rPr>
            <w:rStyle w:val="752"/>
            <w:rFonts w:eastAsia="宋体"/>
            <w:color w:val="auto"/>
            <w:sz w:val="28"/>
            <w:szCs w:val="28"/>
          </w:rPr>
          <w:t xml:space="preserve">36</w:t>
        </w:r>
        <w:r>
          <w:rPr>
            <w:rStyle w:val="752"/>
            <w:rFonts w:hint="eastAsia" w:eastAsia="宋体"/>
            <w:color w:val="auto"/>
          </w:rPr>
          <w:fldChar w:fldCharType="end"/>
        </w:r>
      </w:hyperlink>
      <w:r/>
      <w:r/>
    </w:p>
    <w:p>
      <w:pPr>
        <w:pStyle w:val="733"/>
        <w:jc w:val="center"/>
        <w:rPr>
          <w:rFonts w:eastAsia="宋体"/>
          <w:color w:val="auto"/>
          <w:sz w:val="28"/>
          <w:szCs w:val="28"/>
        </w:rPr>
      </w:pPr>
      <w:r/>
      <w:hyperlink r:id="rId15" w:tooltip="file:///C:\Users\Administrator\Desktop\实验室仪器购置\172466230323562ed39f435b74316b6d5937959752773阳澄湖派出所2024年食堂原材料供应采购文件.doc.doc#_Toc35951275" w:anchor="_Toc35951275" w:history="1">
        <w:r>
          <w:rPr>
            <w:rStyle w:val="752"/>
            <w:rFonts w:hint="eastAsia" w:eastAsia="宋体"/>
            <w:color w:val="auto"/>
            <w:sz w:val="28"/>
            <w:szCs w:val="28"/>
          </w:rPr>
          <w:t xml:space="preserve">第五章 合同主要条款</w:t>
        </w:r>
        <w:r>
          <w:rPr>
            <w:rStyle w:val="752"/>
            <w:rFonts w:hint="eastAsia" w:eastAsia="宋体"/>
            <w:color w:val="auto"/>
            <w:sz w:val="28"/>
            <w:szCs w:val="28"/>
          </w:rPr>
          <w:tab/>
        </w:r>
      </w:hyperlink>
      <w:r>
        <w:rPr>
          <w:rFonts w:hint="eastAsia" w:eastAsia="宋体"/>
          <w:color w:val="auto"/>
          <w:sz w:val="28"/>
          <w:szCs w:val="28"/>
        </w:rPr>
        <w:t xml:space="preserve">59</w:t>
      </w:r>
      <w:r/>
    </w:p>
    <w:p>
      <w:pPr>
        <w:pStyle w:val="733"/>
        <w:jc w:val="center"/>
        <w:rPr>
          <w:rFonts w:eastAsia="宋体"/>
          <w:color w:val="auto"/>
          <w:sz w:val="28"/>
          <w:szCs w:val="28"/>
        </w:rPr>
      </w:pPr>
      <w:r/>
      <w:hyperlink r:id="rId16" w:tooltip="file:///C:\Users\Administrator\Desktop\实验室仪器购置\172466230323562ed39f435b74316b6d5937959752773阳澄湖派出所2024年食堂原材料供应采购文件.doc.doc#_Toc35951276" w:anchor="_Toc35951276" w:history="1">
        <w:r>
          <w:rPr>
            <w:rStyle w:val="752"/>
            <w:rFonts w:hint="eastAsia" w:eastAsia="宋体"/>
            <w:color w:val="auto"/>
            <w:sz w:val="28"/>
            <w:szCs w:val="28"/>
          </w:rPr>
          <w:t xml:space="preserve">第六章 评标办法及评分标准</w:t>
        </w:r>
        <w:r>
          <w:rPr>
            <w:rStyle w:val="752"/>
            <w:rFonts w:hint="eastAsia" w:eastAsia="宋体"/>
            <w:color w:val="auto"/>
            <w:sz w:val="28"/>
            <w:szCs w:val="28"/>
          </w:rPr>
          <w:tab/>
        </w:r>
      </w:hyperlink>
      <w:r>
        <w:rPr>
          <w:rFonts w:hint="eastAsia" w:eastAsia="宋体"/>
          <w:color w:val="auto"/>
          <w:sz w:val="28"/>
          <w:szCs w:val="28"/>
        </w:rPr>
        <w:t xml:space="preserve">64</w:t>
      </w:r>
      <w:r/>
    </w:p>
    <w:p>
      <w:pPr>
        <w:jc w:val="center"/>
        <w:spacing w:line="360" w:lineRule="auto"/>
        <w:rPr>
          <w:rFonts w:ascii="宋体" w:hAnsi="宋体" w:eastAsia="宋体"/>
          <w:b/>
          <w:sz w:val="32"/>
          <w:szCs w:val="32"/>
        </w:rPr>
        <w:outlineLvl w:val="0"/>
      </w:pPr>
      <w:r>
        <w:rPr>
          <w:rFonts w:hint="eastAsia" w:ascii="宋体" w:hAnsi="宋体" w:eastAsia="宋体"/>
        </w:rPr>
        <w:fldChar w:fldCharType="end"/>
      </w:r>
      <w:r>
        <w:rPr>
          <w:rFonts w:hint="eastAsia" w:ascii="宋体" w:hAnsi="宋体" w:eastAsia="宋体" w:cs="宋体"/>
          <w:sz w:val="32"/>
          <w:szCs w:val="32"/>
        </w:rPr>
        <w:br w:type="page" w:clear="all"/>
      </w:r>
      <w:bookmarkStart w:id="2" w:name="_Toc492294164"/>
      <w:r/>
      <w:bookmarkStart w:id="3" w:name="_Toc142194255"/>
      <w:r/>
      <w:bookmarkStart w:id="4" w:name="_Toc492394284"/>
      <w:r/>
      <w:bookmarkStart w:id="5" w:name="_Toc35951271"/>
      <w:r/>
      <w:bookmarkEnd w:id="1"/>
      <w:r>
        <w:rPr>
          <w:rFonts w:hint="eastAsia" w:ascii="宋体" w:hAnsi="宋体" w:eastAsia="宋体"/>
          <w:b/>
          <w:sz w:val="32"/>
          <w:szCs w:val="32"/>
        </w:rPr>
        <w:t xml:space="preserve">第一章 招标公告</w:t>
      </w:r>
      <w:bookmarkEnd w:id="2"/>
      <w:r/>
      <w:bookmarkEnd w:id="3"/>
      <w:r/>
      <w:bookmarkEnd w:id="4"/>
      <w:r/>
      <w:bookmarkEnd w:id="5"/>
      <w:r/>
      <w:r/>
    </w:p>
    <w:p>
      <w:pPr>
        <w:ind w:firstLine="420"/>
        <w:spacing w:line="276" w:lineRule="auto"/>
        <w:rPr>
          <w:rFonts w:ascii="宋体" w:hAnsi="宋体" w:eastAsia="宋体"/>
          <w:sz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rPr>
        <w:t xml:space="preserve">项目概况</w:t>
      </w:r>
      <w:r/>
    </w:p>
    <w:p>
      <w:pPr>
        <w:ind w:firstLine="420"/>
        <w:spacing w:line="276" w:lineRule="auto"/>
        <w:rPr>
          <w:rFonts w:ascii="宋体" w:hAnsi="宋体" w:eastAsia="宋体"/>
          <w:sz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lang w:val="zh-CN"/>
        </w:rPr>
        <w:t xml:space="preserve">黄埭镇东桥消防救援</w:t>
      </w:r>
      <w:r>
        <w:rPr>
          <w:rFonts w:hint="eastAsia" w:ascii="宋体" w:hAnsi="宋体" w:eastAsia="宋体"/>
          <w:sz w:val="21"/>
          <w:szCs w:val="21"/>
          <w:u w:val="single"/>
          <w:lang w:val="zh-CN"/>
        </w:rPr>
        <w:t xml:space="preserve">站消防装备采购</w:t>
      </w:r>
      <w:r>
        <w:rPr>
          <w:rFonts w:hint="eastAsia" w:ascii="宋体" w:hAnsi="宋体" w:eastAsia="宋体"/>
          <w:sz w:val="21"/>
        </w:rPr>
        <w:t xml:space="preserve">招标项目的潜在投标人应在</w:t>
      </w:r>
      <w:r>
        <w:rPr>
          <w:rFonts w:hint="eastAsia" w:ascii="宋体" w:hAnsi="宋体" w:eastAsia="宋体"/>
          <w:sz w:val="21"/>
          <w:szCs w:val="21"/>
          <w:u w:val="single"/>
        </w:rPr>
        <w:t xml:space="preserve">苏采云系统</w:t>
      </w:r>
      <w:r>
        <w:rPr>
          <w:rFonts w:hint="eastAsia" w:ascii="宋体" w:hAnsi="宋体" w:eastAsia="宋体"/>
          <w:sz w:val="21"/>
        </w:rPr>
        <w:t xml:space="preserve">获取招标文件，并于</w:t>
      </w:r>
      <w:r>
        <w:rPr>
          <w:rFonts w:hint="eastAsia" w:ascii="宋体" w:hAnsi="宋体" w:eastAsia="宋体" w:cs="等线"/>
          <w:sz w:val="21"/>
          <w:szCs w:val="21"/>
          <w:highlight w:val="yellow"/>
        </w:rPr>
      </w:r>
      <w:r>
        <w:rPr>
          <w:rFonts w:ascii="SimSun" w:hAnsi="SimSun" w:eastAsia="SimSun" w:cs="SimSun"/>
          <w:color w:val="000000"/>
          <w:sz w:val="21"/>
          <w:u w:val="single"/>
        </w:rPr>
        <w:t xml:space="preserve">2026年1月14日</w:t>
      </w:r>
      <w:r>
        <w:rPr>
          <w:rFonts w:hint="eastAsia" w:ascii="宋体" w:hAnsi="宋体" w:eastAsia="宋体" w:cs="等线"/>
          <w:sz w:val="21"/>
          <w:szCs w:val="21"/>
          <w:highlight w:val="yellow"/>
        </w:rPr>
      </w:r>
      <w:r>
        <w:rPr>
          <w:rFonts w:ascii="宋体" w:hAnsi="宋体" w:eastAsia="宋体"/>
          <w:sz w:val="21"/>
          <w:u w:val="single"/>
        </w:rPr>
        <w:t xml:space="preserve">13</w:t>
      </w:r>
      <w:r>
        <w:rPr>
          <w:rFonts w:hint="eastAsia" w:ascii="宋体" w:hAnsi="宋体" w:eastAsia="宋体"/>
          <w:sz w:val="21"/>
          <w:u w:val="single"/>
        </w:rPr>
        <w:t xml:space="preserve">点30分</w:t>
      </w:r>
      <w:r>
        <w:rPr>
          <w:rFonts w:hint="eastAsia" w:ascii="宋体" w:hAnsi="宋体" w:eastAsia="宋体"/>
          <w:sz w:val="21"/>
        </w:rPr>
        <w:t xml:space="preserve">（北京时间</w:t>
      </w:r>
      <w:r>
        <w:rPr>
          <w:rFonts w:hint="eastAsia" w:ascii="宋体" w:hAnsi="宋体" w:eastAsia="宋体"/>
          <w:sz w:val="21"/>
        </w:rPr>
        <w:t xml:space="preserve">）前递交投标文件。</w:t>
      </w:r>
      <w:r/>
    </w:p>
    <w:p>
      <w:pPr>
        <w:ind w:firstLine="422"/>
        <w:spacing w:line="276" w:lineRule="auto"/>
        <w:tabs>
          <w:tab w:val="left" w:pos="3600" w:leader="none"/>
        </w:tabs>
        <w:rPr>
          <w:rFonts w:ascii="宋体" w:hAnsi="宋体" w:eastAsia="宋体"/>
          <w:b/>
          <w:sz w:val="21"/>
        </w:rPr>
      </w:pPr>
      <w:r>
        <w:rPr>
          <w:rFonts w:hint="eastAsia" w:ascii="宋体" w:hAnsi="宋体" w:eastAsia="宋体"/>
          <w:b/>
          <w:sz w:val="21"/>
        </w:rPr>
        <w:t xml:space="preserve">一、项目基本情况</w:t>
      </w:r>
      <w:r/>
    </w:p>
    <w:p>
      <w:pPr>
        <w:ind w:firstLine="420"/>
        <w:spacing w:line="276" w:lineRule="auto"/>
        <w:tabs>
          <w:tab w:val="left" w:pos="3600" w:leader="none"/>
        </w:tabs>
        <w:rPr>
          <w:rFonts w:ascii="宋体" w:hAnsi="宋体" w:eastAsia="宋体"/>
          <w:sz w:val="21"/>
        </w:rPr>
      </w:pPr>
      <w:r>
        <w:rPr>
          <w:rFonts w:hint="eastAsia" w:ascii="宋体" w:hAnsi="宋体" w:eastAsia="宋体"/>
          <w:sz w:val="21"/>
        </w:rPr>
        <w:t xml:space="preserve">项目编号：</w:t>
      </w:r>
      <w:r>
        <w:rPr>
          <w:rFonts w:hint="eastAsia" w:ascii="宋体" w:hAnsi="宋体" w:eastAsia="宋体"/>
          <w:sz w:val="21"/>
        </w:rPr>
        <w:t xml:space="preserve">JSZC-320507-SZGZ-G2025-0167</w:t>
      </w:r>
      <w:r/>
    </w:p>
    <w:p>
      <w:pPr>
        <w:ind w:firstLine="420"/>
        <w:spacing w:line="276" w:lineRule="auto"/>
        <w:tabs>
          <w:tab w:val="left" w:pos="3600" w:leader="none"/>
        </w:tabs>
        <w:rPr>
          <w:rFonts w:ascii="宋体" w:hAnsi="宋体" w:eastAsia="宋体"/>
          <w:sz w:val="21"/>
        </w:rPr>
      </w:pPr>
      <w:r>
        <w:rPr>
          <w:rFonts w:hint="eastAsia" w:ascii="宋体" w:hAnsi="宋体" w:eastAsia="宋体"/>
          <w:sz w:val="21"/>
        </w:rPr>
        <w:t xml:space="preserve">项目名称：黄埭镇东桥消防救援站消防装备采购</w:t>
      </w:r>
      <w:r/>
    </w:p>
    <w:p>
      <w:pPr>
        <w:ind w:firstLine="420"/>
        <w:spacing w:line="276" w:lineRule="auto"/>
        <w:rPr>
          <w:rFonts w:ascii="宋体" w:hAnsi="宋体" w:eastAsia="宋体"/>
          <w:sz w:val="21"/>
          <w:szCs w:val="21"/>
          <w:lang w:val="zh-CN"/>
        </w:rPr>
      </w:pPr>
      <w:r>
        <w:rPr>
          <w:rFonts w:hint="eastAsia" w:ascii="宋体" w:hAnsi="宋体" w:eastAsia="宋体"/>
          <w:sz w:val="21"/>
          <w:szCs w:val="21"/>
          <w:lang w:val="zh-CN"/>
        </w:rPr>
        <w:t xml:space="preserve">采购方式：公开招标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三标段</w:t>
      </w:r>
      <w:r>
        <w:rPr>
          <w:rFonts w:hint="eastAsia" w:ascii="宋体" w:hAnsi="宋体" w:eastAsia="宋体"/>
          <w:sz w:val="21"/>
          <w:szCs w:val="21"/>
        </w:rPr>
        <w:t xml:space="preserve">预</w:t>
      </w:r>
      <w:r>
        <w:rPr>
          <w:rFonts w:hint="eastAsia" w:ascii="宋体" w:hAnsi="宋体" w:eastAsia="宋体"/>
          <w:sz w:val="21"/>
          <w:szCs w:val="21"/>
          <w:lang w:val="zh-CN"/>
        </w:rPr>
        <w:t xml:space="preserve">算</w:t>
      </w:r>
      <w:r>
        <w:rPr>
          <w:rFonts w:hint="eastAsia" w:ascii="宋体" w:hAnsi="宋体" w:eastAsia="宋体"/>
          <w:sz w:val="21"/>
          <w:szCs w:val="21"/>
          <w:lang w:val="zh-CN"/>
        </w:rPr>
        <w:t xml:space="preserve">金额：</w:t>
      </w:r>
      <w:r>
        <w:rPr>
          <w:rFonts w:hint="eastAsia" w:ascii="宋体" w:hAnsi="宋体" w:eastAsia="宋体"/>
          <w:sz w:val="21"/>
          <w:szCs w:val="21"/>
        </w:rPr>
        <w:t xml:space="preserve">人民币壹佰柒拾肆万零捌佰元整（￥1</w:t>
      </w:r>
      <w:r>
        <w:rPr>
          <w:rFonts w:ascii="宋体" w:hAnsi="宋体" w:eastAsia="宋体"/>
          <w:sz w:val="21"/>
          <w:szCs w:val="21"/>
        </w:rPr>
        <w:t xml:space="preserve">740800.00</w:t>
      </w:r>
      <w:r>
        <w:rPr>
          <w:rFonts w:hint="eastAsia" w:ascii="宋体" w:hAnsi="宋体" w:eastAsia="宋体"/>
          <w:sz w:val="21"/>
          <w:szCs w:val="21"/>
        </w:rPr>
        <w:t xml:space="preserve">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供货期限：合同签订之日起三个月内交付完毕，具体以合同签订时间为准。</w:t>
      </w:r>
      <w:r/>
    </w:p>
    <w:p>
      <w:pPr>
        <w:ind w:firstLine="420"/>
        <w:spacing w:line="276" w:lineRule="auto"/>
        <w:tabs>
          <w:tab w:val="left" w:pos="3600" w:leader="none"/>
        </w:tabs>
        <w:rPr>
          <w:rFonts w:ascii="宋体" w:hAnsi="宋体" w:eastAsia="宋体"/>
          <w:sz w:val="21"/>
          <w:szCs w:val="21"/>
        </w:rPr>
      </w:pPr>
      <w:r>
        <w:rPr>
          <w:rFonts w:hint="eastAsia" w:ascii="宋体" w:hAnsi="宋体" w:eastAsia="宋体"/>
          <w:sz w:val="21"/>
          <w:szCs w:val="21"/>
        </w:rPr>
        <w:t xml:space="preserve">三标段</w:t>
      </w:r>
      <w:r>
        <w:rPr>
          <w:rFonts w:hint="eastAsia" w:ascii="宋体" w:hAnsi="宋体" w:eastAsia="宋体"/>
          <w:sz w:val="21"/>
          <w:szCs w:val="21"/>
        </w:rPr>
        <w:t xml:space="preserve">采购需求：</w:t>
      </w:r>
      <w:r/>
    </w:p>
    <w:tbl>
      <w:tblPr>
        <w:tblW w:w="4015" w:type="dxa"/>
        <w:jc w:val="center"/>
        <w:tblLook w:val="04A0" w:firstRow="1" w:lastRow="0" w:firstColumn="1" w:lastColumn="0" w:noHBand="0" w:noVBand="1"/>
      </w:tblPr>
      <w:tblGrid>
        <w:gridCol w:w="2466"/>
        <w:gridCol w:w="708"/>
        <w:gridCol w:w="841"/>
      </w:tblGrid>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2466"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器材名称</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单位</w:t>
            </w:r>
            <w:r/>
          </w:p>
        </w:tc>
      </w:tr>
      <w:tr>
        <w:trPr>
          <w:jc w:val="center"/>
          <w:trHeight w:val="283"/>
        </w:trPr>
        <w:tc>
          <w:tcPr>
            <w:shd w:val="clear" w:color="auto" w:fill="auto"/>
            <w:tcBorders>
              <w:top w:val="none" w:color="000000" w:sz="4" w:space="0"/>
              <w:left w:val="single" w:color="auto" w:sz="4" w:space="0"/>
              <w:bottom w:val="single" w:color="auto" w:sz="4" w:space="0"/>
              <w:right w:val="single" w:color="auto" w:sz="4" w:space="0"/>
            </w:tcBorders>
            <w:tcW w:w="2466"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正压式空气呼吸器（6.8L)</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具</w:t>
            </w:r>
            <w:r/>
          </w:p>
        </w:tc>
      </w:tr>
      <w:tr>
        <w:trPr>
          <w:jc w:val="center"/>
          <w:trHeight w:val="283"/>
        </w:trPr>
        <w:tc>
          <w:tcPr>
            <w:shd w:val="clear" w:color="auto" w:fill="auto"/>
            <w:tcBorders>
              <w:top w:val="none" w:color="000000" w:sz="4" w:space="0"/>
              <w:left w:val="single" w:color="auto" w:sz="4" w:space="0"/>
              <w:bottom w:val="single" w:color="auto" w:sz="4" w:space="0"/>
              <w:right w:val="single" w:color="auto" w:sz="4" w:space="0"/>
            </w:tcBorders>
            <w:tcW w:w="2466"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空呼备用气瓶</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个</w:t>
            </w:r>
            <w:r/>
          </w:p>
        </w:tc>
      </w:tr>
      <w:tr>
        <w:trPr>
          <w:jc w:val="center"/>
          <w:trHeight w:val="283"/>
        </w:trPr>
        <w:tc>
          <w:tcPr>
            <w:shd w:val="clear" w:color="auto" w:fill="auto"/>
            <w:tcBorders>
              <w:top w:val="none" w:color="000000" w:sz="4" w:space="0"/>
              <w:left w:val="single" w:color="auto" w:sz="4" w:space="0"/>
              <w:bottom w:val="single" w:color="auto" w:sz="4" w:space="0"/>
              <w:right w:val="single" w:color="auto" w:sz="4" w:space="0"/>
            </w:tcBorders>
            <w:tcW w:w="2466"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防蜂服</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套</w:t>
            </w:r>
            <w:r/>
          </w:p>
        </w:tc>
      </w:tr>
      <w:tr>
        <w:trPr>
          <w:jc w:val="center"/>
          <w:trHeight w:val="283"/>
        </w:trPr>
        <w:tc>
          <w:tcPr>
            <w:shd w:val="clear" w:color="auto" w:fill="auto"/>
            <w:tcBorders>
              <w:top w:val="none" w:color="000000" w:sz="4" w:space="0"/>
              <w:left w:val="single" w:color="auto" w:sz="4" w:space="0"/>
              <w:bottom w:val="single" w:color="auto" w:sz="4" w:space="0"/>
              <w:right w:val="single" w:color="auto" w:sz="4" w:space="0"/>
            </w:tcBorders>
            <w:tcW w:w="2466"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电绝缘装具</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套</w:t>
            </w:r>
            <w:r/>
          </w:p>
        </w:tc>
      </w:tr>
      <w:tr>
        <w:trPr>
          <w:jc w:val="center"/>
          <w:trHeight w:val="283"/>
        </w:trPr>
        <w:tc>
          <w:tcPr>
            <w:shd w:val="clear" w:color="auto" w:fill="auto"/>
            <w:tcBorders>
              <w:top w:val="none" w:color="000000" w:sz="4" w:space="0"/>
              <w:left w:val="single" w:color="auto" w:sz="4" w:space="0"/>
              <w:bottom w:val="single" w:color="auto" w:sz="4" w:space="0"/>
              <w:right w:val="single" w:color="auto" w:sz="4" w:space="0"/>
            </w:tcBorders>
            <w:tcW w:w="2466"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有毒气体探测仪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个</w:t>
            </w:r>
            <w:r/>
          </w:p>
        </w:tc>
      </w:tr>
      <w:tr>
        <w:trPr>
          <w:jc w:val="center"/>
          <w:trHeight w:val="283"/>
        </w:trPr>
        <w:tc>
          <w:tcPr>
            <w:shd w:val="clear" w:color="auto" w:fill="auto"/>
            <w:tcBorders>
              <w:top w:val="none" w:color="000000" w:sz="4" w:space="0"/>
              <w:left w:val="single" w:color="auto" w:sz="4" w:space="0"/>
              <w:bottom w:val="single" w:color="auto" w:sz="4" w:space="0"/>
              <w:right w:val="single" w:color="auto" w:sz="4" w:space="0"/>
            </w:tcBorders>
            <w:tcW w:w="2466"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可燃气体探测仪</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ascii="宋体" w:hAnsi="宋体" w:eastAsia="宋体" w:cs="宋体"/>
                <w:sz w:val="21"/>
                <w:szCs w:val="21"/>
              </w:rPr>
            </w:pPr>
            <w:r>
              <w:rPr>
                <w:rFonts w:hint="eastAsia" w:ascii="宋体" w:hAnsi="宋体" w:eastAsia="宋体" w:cs="宋体"/>
                <w:sz w:val="21"/>
                <w:szCs w:val="21"/>
              </w:rPr>
              <w:t xml:space="preserve">个</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2466" w:type="dxa"/>
            <w:vAlign w:val="center"/>
            <w:textDirection w:val="lrTb"/>
            <w:noWrap w:val="false"/>
          </w:tcPr>
          <w:p>
            <w:pPr>
              <w:jc w:val="center"/>
              <w:widowControl/>
              <w:rPr>
                <w:rFonts w:ascii="宋体" w:hAnsi="宋体" w:eastAsia="宋体" w:cs="宋体"/>
                <w:sz w:val="21"/>
                <w:szCs w:val="21"/>
              </w:rPr>
            </w:pPr>
            <w:r>
              <w:rPr>
                <w:rFonts w:ascii="宋体" w:hAnsi="宋体" w:eastAsia="宋体" w:cs="宋体"/>
                <w:sz w:val="21"/>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宋体" w:hAnsi="宋体" w:eastAsia="宋体" w:cs="宋体"/>
                <w:sz w:val="21"/>
                <w:szCs w:val="21"/>
              </w:rPr>
            </w:pPr>
            <w:r>
              <w:rPr>
                <w:rFonts w:ascii="宋体" w:hAnsi="宋体" w:eastAsia="宋体" w:cs="宋体"/>
                <w:sz w:val="21"/>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ascii="宋体" w:hAnsi="宋体" w:eastAsia="宋体" w:cs="宋体"/>
                <w:sz w:val="21"/>
                <w:szCs w:val="21"/>
              </w:rPr>
            </w:pPr>
            <w:r>
              <w:rPr>
                <w:rFonts w:ascii="宋体" w:hAnsi="宋体" w:eastAsia="宋体" w:cs="宋体"/>
                <w:sz w:val="21"/>
                <w:szCs w:val="21"/>
              </w:rPr>
              <w:t xml:space="preserve">…</w:t>
            </w:r>
            <w:r/>
          </w:p>
        </w:tc>
      </w:tr>
    </w:tbl>
    <w:p>
      <w:pPr>
        <w:ind w:firstLine="422"/>
        <w:spacing w:line="276" w:lineRule="auto"/>
        <w:tabs>
          <w:tab w:val="left" w:pos="3600" w:leader="none"/>
        </w:tabs>
        <w:rPr>
          <w:rFonts w:ascii="宋体" w:hAnsi="宋体" w:eastAsia="宋体"/>
          <w:b/>
          <w:bCs/>
          <w:sz w:val="21"/>
          <w:szCs w:val="22"/>
        </w:rPr>
      </w:pPr>
      <w:r>
        <w:rPr>
          <w:rFonts w:hint="eastAsia" w:ascii="宋体" w:hAnsi="宋体" w:eastAsia="宋体"/>
          <w:b/>
          <w:bCs/>
          <w:sz w:val="21"/>
          <w:szCs w:val="22"/>
        </w:rPr>
        <w:t xml:space="preserve">二、申请人的资格要求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1、满足《中华人民共和国政府采购法》第二十二条规定，投标人应当具备下列条件：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（1）具有独立承担民事责任的能力；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（6）法律、行政法规规定的其他条件。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2、落实政府采购政策需满足的资格要求：</w:t>
      </w:r>
      <w:r/>
    </w:p>
    <w:p>
      <w:pPr>
        <w:ind w:firstLine="422"/>
        <w:spacing w:line="276" w:lineRule="auto"/>
        <w:rPr>
          <w:rFonts w:ascii="宋体" w:hAnsi="宋体" w:eastAsia="宋体"/>
          <w:sz w:val="21"/>
          <w:szCs w:val="21"/>
        </w:rPr>
      </w:pPr>
      <w:r>
        <w:rPr>
          <w:rFonts w:hint="eastAsia" w:ascii="宋体" w:hAnsi="宋体" w:eastAsia="宋体"/>
          <w:b/>
          <w:bCs/>
          <w:sz w:val="21"/>
          <w:szCs w:val="21"/>
        </w:rPr>
        <w:t xml:space="preserve">本项目专门面向中小企业，所属行业为工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3、本项目的特定资格要求：无</w:t>
      </w:r>
      <w:r>
        <w:rPr>
          <w:rFonts w:hint="eastAsia" w:ascii="宋体" w:hAnsi="宋体" w:eastAsia="宋体"/>
          <w:b/>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4、其他资格要求：</w:t>
      </w:r>
      <w:r/>
    </w:p>
    <w:p>
      <w:pPr>
        <w:ind w:firstLine="420"/>
        <w:spacing w:line="276" w:lineRule="auto"/>
        <w:tabs>
          <w:tab w:val="left" w:pos="3600" w:leader="none"/>
        </w:tabs>
        <w:rPr>
          <w:rFonts w:ascii="宋体" w:hAnsi="宋体" w:eastAsia="宋体"/>
          <w:sz w:val="21"/>
          <w:szCs w:val="21"/>
        </w:rPr>
      </w:pPr>
      <w:r>
        <w:rPr>
          <w:rFonts w:hint="eastAsia" w:ascii="宋体" w:hAnsi="宋体" w:eastAsia="宋体"/>
          <w:sz w:val="21"/>
          <w:szCs w:val="21"/>
        </w:rPr>
        <w:t xml:space="preserve">（1）未被“信用中国”网站（www.creditchina.gov.cn）或“中国政府采购网”网站（www.ccgp.gov.cn）列入失信被执行人、重大税收违法案件当事人名单、政府采购严重失信行为记录名单；</w:t>
      </w:r>
      <w:r/>
    </w:p>
    <w:p>
      <w:pPr>
        <w:ind w:firstLine="420"/>
        <w:spacing w:line="276" w:lineRule="auto"/>
        <w:tabs>
          <w:tab w:val="left" w:pos="3600" w:leader="none"/>
        </w:tabs>
        <w:rPr>
          <w:rFonts w:ascii="宋体" w:hAnsi="宋体" w:eastAsia="宋体"/>
          <w:sz w:val="21"/>
          <w:szCs w:val="21"/>
        </w:rPr>
      </w:pPr>
      <w:r>
        <w:rPr>
          <w:rFonts w:hint="eastAsia" w:ascii="宋体" w:hAnsi="宋体" w:eastAsia="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276" w:lineRule="auto"/>
        <w:tabs>
          <w:tab w:val="left" w:pos="3600" w:leader="none"/>
        </w:tabs>
        <w:rPr>
          <w:rFonts w:ascii="宋体" w:hAnsi="宋体" w:eastAsia="宋体"/>
          <w:sz w:val="21"/>
          <w:szCs w:val="21"/>
        </w:rPr>
      </w:pPr>
      <w:r>
        <w:rPr>
          <w:rFonts w:hint="eastAsia" w:ascii="宋体" w:hAnsi="宋体" w:eastAsia="宋体"/>
          <w:sz w:val="21"/>
          <w:szCs w:val="21"/>
        </w:rPr>
        <w:t xml:space="preserve">（3）法人的分支机构不得参加投标（除银行、保险、石油石化、电力、电信等行业特殊情况外）。</w:t>
      </w:r>
      <w:r/>
    </w:p>
    <w:p>
      <w:pPr>
        <w:pStyle w:val="720"/>
        <w:ind w:left="0" w:firstLine="420"/>
        <w:spacing w:line="276" w:lineRule="auto"/>
        <w:rPr>
          <w:rFonts w:ascii="宋体" w:hAnsi="宋体" w:eastAsia="宋体"/>
          <w:sz w:val="21"/>
          <w:szCs w:val="21"/>
        </w:rPr>
      </w:pPr>
      <w:r>
        <w:rPr>
          <w:rFonts w:hint="eastAsia" w:ascii="宋体" w:hAnsi="宋体" w:eastAsia="宋体"/>
          <w:sz w:val="21"/>
          <w:szCs w:val="21"/>
        </w:rPr>
        <w:t xml:space="preserve">（4）本项目不接受联合体投标。</w:t>
      </w:r>
      <w:r/>
    </w:p>
    <w:p>
      <w:pPr>
        <w:ind w:firstLine="422"/>
        <w:spacing w:line="276" w:lineRule="auto"/>
        <w:rPr>
          <w:rFonts w:ascii="宋体" w:hAnsi="宋体" w:eastAsia="宋体" w:cs="等线"/>
          <w:b/>
          <w:bCs/>
          <w:sz w:val="21"/>
          <w:szCs w:val="21"/>
        </w:rPr>
      </w:pPr>
      <w:r>
        <w:rPr>
          <w:rFonts w:hint="eastAsia" w:ascii="宋体" w:hAnsi="宋体" w:eastAsia="宋体" w:cs="等线"/>
          <w:b/>
          <w:bCs/>
          <w:sz w:val="21"/>
          <w:szCs w:val="21"/>
        </w:rPr>
        <w:t xml:space="preserve">三、报名及采购文件的获取</w:t>
      </w:r>
      <w:r/>
    </w:p>
    <w:p>
      <w:pPr>
        <w:ind w:firstLine="420"/>
        <w:spacing w:line="276" w:lineRule="auto"/>
        <w:rPr>
          <w:rFonts w:ascii="宋体" w:hAnsi="宋体" w:eastAsia="宋体" w:cs="等线"/>
          <w:sz w:val="21"/>
          <w:szCs w:val="21"/>
          <w:highlight w:val="none"/>
        </w:rPr>
      </w:pPr>
      <w:r>
        <w:rPr>
          <w:rFonts w:hint="eastAsia" w:ascii="宋体" w:hAnsi="宋体" w:eastAsia="宋体" w:cs="等线"/>
          <w:sz w:val="21"/>
          <w:szCs w:val="21"/>
        </w:rPr>
        <w:t xml:space="preserve">1、报名截止时间</w:t>
      </w:r>
      <w:r>
        <w:rPr>
          <w:rFonts w:hint="eastAsia" w:ascii="宋体" w:hAnsi="宋体" w:eastAsia="宋体" w:cs="等线"/>
          <w:sz w:val="21"/>
          <w:szCs w:val="21"/>
        </w:rPr>
        <w:t xml:space="preserve">：</w:t>
      </w:r>
      <w:r>
        <w:rPr>
          <w:rFonts w:hint="eastAsia" w:ascii="宋体" w:hAnsi="宋体" w:eastAsia="宋体" w:cs="等线"/>
          <w:sz w:val="21"/>
          <w:szCs w:val="21"/>
          <w:highlight w:val="none"/>
        </w:rPr>
        <w:t xml:space="preserve">202</w:t>
      </w:r>
      <w:r>
        <w:rPr>
          <w:rFonts w:ascii="宋体" w:hAnsi="宋体" w:eastAsia="宋体" w:cs="等线"/>
          <w:sz w:val="21"/>
          <w:szCs w:val="21"/>
          <w:highlight w:val="none"/>
        </w:rPr>
        <w:t xml:space="preserve">5</w:t>
      </w:r>
      <w:r>
        <w:rPr>
          <w:rFonts w:hint="eastAsia" w:ascii="宋体" w:hAnsi="宋体" w:eastAsia="宋体" w:cs="等线"/>
          <w:sz w:val="21"/>
          <w:szCs w:val="21"/>
          <w:highlight w:val="none"/>
        </w:rPr>
        <w:t xml:space="preserve">年12</w:t>
      </w:r>
      <w:r>
        <w:rPr>
          <w:rFonts w:hint="eastAsia" w:ascii="宋体" w:hAnsi="宋体" w:eastAsia="宋体" w:cs="等线"/>
          <w:sz w:val="21"/>
          <w:szCs w:val="21"/>
          <w:highlight w:val="none"/>
        </w:rPr>
        <w:t xml:space="preserve">月29</w:t>
      </w:r>
      <w:r>
        <w:rPr>
          <w:rFonts w:hint="eastAsia" w:ascii="宋体" w:hAnsi="宋体" w:eastAsia="宋体" w:cs="等线"/>
          <w:sz w:val="21"/>
          <w:szCs w:val="21"/>
          <w:highlight w:val="none"/>
        </w:rPr>
        <w:t xml:space="preserve">日</w:t>
      </w:r>
      <w:r>
        <w:rPr>
          <w:rFonts w:hint="eastAsia" w:ascii="宋体" w:hAnsi="宋体" w:eastAsia="宋体" w:cs="等线"/>
          <w:sz w:val="21"/>
          <w:szCs w:val="21"/>
          <w:highlight w:val="none"/>
        </w:rPr>
        <w:t xml:space="preserve">。</w:t>
      </w:r>
      <w:r>
        <w:rPr>
          <w:highlight w:val="none"/>
        </w:rP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2、报名方式（网上报名）：</w:t>
      </w:r>
      <w:r/>
    </w:p>
    <w:p>
      <w:pPr>
        <w:ind w:firstLine="420"/>
        <w:spacing w:line="276" w:lineRule="auto"/>
        <w:rPr>
          <w:rFonts w:ascii="宋体" w:hAnsi="宋体" w:eastAsia="宋体" w:cs="等线"/>
          <w:sz w:val="21"/>
          <w:szCs w:val="21"/>
        </w:rPr>
      </w:pPr>
      <w:r/>
      <w:bookmarkStart w:id="6" w:name="_Toc28359015"/>
      <w:r/>
      <w:bookmarkStart w:id="7" w:name="_Toc35393632"/>
      <w:r/>
      <w:bookmarkStart w:id="8" w:name="_Toc35393801"/>
      <w:r/>
      <w:bookmarkStart w:id="9" w:name="_Toc28359092"/>
      <w:r>
        <w:rPr>
          <w:rFonts w:hint="eastAsia" w:ascii="宋体" w:hAnsi="宋体" w:eastAsia="宋体" w:cs="等线"/>
          <w:sz w:val="21"/>
          <w:szCs w:val="21"/>
        </w:rPr>
        <w:t xml:space="preserve">（1）CA证书办理</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供应商</w:t>
      </w:r>
      <w:r>
        <w:rPr>
          <w:rFonts w:hint="eastAsia" w:ascii="宋体" w:hAnsi="宋体" w:eastAsia="宋体" w:cs="等线"/>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（2）参与采购活动</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（3）电子投标准备</w:t>
      </w:r>
      <w:r/>
    </w:p>
    <w:p>
      <w:pPr>
        <w:ind w:firstLine="420"/>
        <w:spacing w:line="276" w:lineRule="auto"/>
        <w:rPr>
          <w:rFonts w:ascii="宋体" w:hAnsi="宋体" w:eastAsia="宋体" w:cs="等线"/>
          <w:b/>
          <w:bCs/>
          <w:sz w:val="21"/>
          <w:szCs w:val="21"/>
        </w:rPr>
      </w:pPr>
      <w:r>
        <w:rPr>
          <w:rFonts w:hint="eastAsia" w:ascii="宋体" w:hAnsi="宋体" w:eastAsia="宋体" w:cs="等线"/>
          <w:sz w:val="21"/>
          <w:szCs w:val="21"/>
        </w:rPr>
        <w:t xml:space="preserve">供应商在“苏采云”系统中操作参与项目后，必须在“已参与项目”界面中下载电子采购文件（后缀名为“.kedt”）并导入政府采购客户端工具后方可进行招标文件制作和提交</w:t>
      </w:r>
      <w:r>
        <w:rPr>
          <w:rFonts w:hint="eastAsia" w:ascii="宋体" w:hAnsi="宋体" w:eastAsia="宋体" w:cs="等线"/>
          <w:b/>
          <w:bCs/>
          <w:sz w:val="21"/>
          <w:szCs w:val="21"/>
        </w:rPr>
        <w:t xml:space="preserve">（具体详见《苏采云系统供应商操作手册》，网址链接https://czju.suzhou.gov.cn/zfcg/html/content/20231220161910031.shtml）。</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在系统操作过程中如有疑问，请按以下方式联系：</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注册咨询：18261002950；</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CA技术咨询电话：400-608-6099；</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签章使用问题：025-83633811、025-83633812、15380932027、15371015030；</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系统使用指导与咨询：联系电话:0512-69820854；智能客服:登录苏采云系统后，联系系统右下方智能客服图标进行咨询。</w:t>
      </w:r>
      <w:r/>
    </w:p>
    <w:p>
      <w:pPr>
        <w:ind w:firstLine="422"/>
        <w:spacing w:line="276" w:lineRule="auto"/>
        <w:rPr>
          <w:rFonts w:ascii="宋体" w:hAnsi="宋体" w:eastAsia="宋体" w:cs="等线"/>
          <w:b/>
          <w:bCs/>
          <w:sz w:val="21"/>
          <w:szCs w:val="21"/>
        </w:rPr>
      </w:pPr>
      <w:r>
        <w:rPr>
          <w:rFonts w:hint="eastAsia" w:ascii="宋体" w:hAnsi="宋体" w:eastAsia="宋体" w:cs="等线"/>
          <w:b/>
          <w:bCs/>
          <w:sz w:val="21"/>
          <w:szCs w:val="21"/>
        </w:rPr>
        <w:t xml:space="preserve">四、投标文件提交</w:t>
      </w:r>
      <w:bookmarkEnd w:id="6"/>
      <w:r/>
      <w:bookmarkEnd w:id="7"/>
      <w:r/>
      <w:bookmarkEnd w:id="8"/>
      <w:r/>
      <w:bookmarkEnd w:id="9"/>
      <w:r/>
      <w:r/>
    </w:p>
    <w:p>
      <w:pPr>
        <w:ind w:firstLine="420"/>
        <w:spacing w:line="276" w:lineRule="auto"/>
        <w:rPr>
          <w:rFonts w:ascii="宋体" w:hAnsi="宋体" w:eastAsia="宋体" w:cs="等线"/>
          <w:sz w:val="21"/>
          <w:szCs w:val="21"/>
          <w:u w:val="none"/>
        </w:rPr>
      </w:pPr>
      <w:r>
        <w:rPr>
          <w:rFonts w:hint="eastAsia" w:ascii="宋体" w:hAnsi="宋体" w:eastAsia="宋体" w:cs="等线"/>
          <w:sz w:val="21"/>
          <w:szCs w:val="21"/>
        </w:rPr>
        <w:t xml:space="preserve">1、截止时间</w:t>
      </w:r>
      <w:r>
        <w:rPr>
          <w:rFonts w:hint="eastAsia" w:ascii="宋体" w:hAnsi="宋体" w:eastAsia="宋体" w:cs="等线"/>
          <w:sz w:val="21"/>
          <w:szCs w:val="21"/>
        </w:rPr>
        <w:t xml:space="preserve">：</w:t>
      </w:r>
      <w:r>
        <w:rPr>
          <w:rFonts w:hint="eastAsia" w:ascii="宋体" w:hAnsi="宋体" w:eastAsia="宋体" w:cs="等线"/>
          <w:sz w:val="21"/>
          <w:szCs w:val="21"/>
        </w:rPr>
        <w:t xml:space="preserve">2026年1月14日</w:t>
      </w:r>
      <w:r>
        <w:rPr>
          <w:rFonts w:ascii="宋体" w:hAnsi="宋体" w:eastAsia="宋体" w:cs="等线"/>
          <w:sz w:val="21"/>
          <w:szCs w:val="21"/>
          <w:u w:val="none"/>
        </w:rPr>
        <w:t xml:space="preserve">13</w:t>
      </w:r>
      <w:r>
        <w:rPr>
          <w:rFonts w:hint="eastAsia" w:ascii="宋体" w:hAnsi="宋体" w:eastAsia="宋体" w:cs="等线"/>
          <w:sz w:val="21"/>
          <w:szCs w:val="21"/>
          <w:u w:val="none"/>
        </w:rPr>
        <w:t xml:space="preserve">点30分</w:t>
      </w:r>
      <w:bookmarkEnd w:id="10"/>
      <w:r>
        <w:rPr>
          <w:rFonts w:hint="eastAsia" w:ascii="宋体" w:hAnsi="宋体" w:eastAsia="宋体" w:cs="等线"/>
          <w:sz w:val="21"/>
          <w:szCs w:val="21"/>
          <w:u w:val="none"/>
        </w:rPr>
        <w:t xml:space="preserve">（北京时间）</w:t>
      </w:r>
      <w:r>
        <w:rPr>
          <w:u w:val="none"/>
        </w:rPr>
      </w:r>
    </w:p>
    <w:p>
      <w:pPr>
        <w:ind w:firstLine="420"/>
        <w:spacing w:line="276" w:lineRule="auto"/>
        <w:rPr>
          <w:rFonts w:ascii="宋体" w:hAnsi="宋体" w:eastAsia="宋体" w:cs="等线"/>
          <w:sz w:val="21"/>
          <w:szCs w:val="21"/>
        </w:rPr>
      </w:pPr>
      <w:r/>
      <w:bookmarkStart w:id="11" w:name="_Toc35393634"/>
      <w:r/>
      <w:bookmarkStart w:id="12" w:name="_Toc35393803"/>
      <w:r/>
      <w:bookmarkStart w:id="13" w:name="_Toc28359094"/>
      <w:r/>
      <w:bookmarkStart w:id="14" w:name="_Toc28359017"/>
      <w:r>
        <w:rPr>
          <w:rFonts w:hint="eastAsia" w:ascii="宋体" w:hAnsi="宋体" w:eastAsia="宋体" w:cs="等线"/>
          <w:sz w:val="21"/>
          <w:szCs w:val="21"/>
        </w:rPr>
        <w:t xml:space="preserve">2、地点：</w:t>
      </w:r>
      <w:r>
        <w:rPr>
          <w:rFonts w:hint="eastAsia" w:ascii="宋体" w:hAnsi="宋体" w:eastAsia="宋体" w:cs="等线"/>
          <w:b/>
          <w:bCs/>
          <w:sz w:val="21"/>
          <w:szCs w:val="21"/>
        </w:rPr>
        <w:t xml:space="preserve">“苏采云”系统（网址：http://jszfcg.jsczt.cn/）</w:t>
      </w:r>
      <w:r>
        <w:rPr>
          <w:rFonts w:hint="eastAsia" w:ascii="宋体" w:hAnsi="宋体" w:eastAsia="宋体" w:cs="等线"/>
          <w:sz w:val="21"/>
          <w:szCs w:val="21"/>
        </w:rPr>
        <w:t xml:space="preserve">。投标文件网上递交，不需要现场参加采购活动，无需提供纸质招标文件。</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3、本项目采用电子招投标形式，请供应商按照《苏采云系统供应商操作手册》进行制作、上传电子投标文件。电子投标文件制作完成后请于投标文件提交截止时间前成功上传至“苏采云”系统，否则视为放弃参加该采购项目。</w:t>
      </w:r>
      <w:r>
        <w:rPr>
          <w:rFonts w:hint="eastAsia" w:ascii="宋体" w:hAnsi="宋体" w:eastAsia="宋体" w:cs="等线"/>
          <w:b/>
          <w:bCs/>
          <w:sz w:val="21"/>
          <w:szCs w:val="21"/>
        </w:rPr>
        <w:t xml:space="preserve">供应商应充分考虑到网络环境、网络带宽等风险因素，如因供应商自身原因造成的电子招标文件上传不成功由供应商自行承担全部责任。</w:t>
      </w:r>
      <w:r/>
    </w:p>
    <w:p>
      <w:pPr>
        <w:ind w:firstLine="422"/>
        <w:spacing w:line="276" w:lineRule="auto"/>
        <w:rPr>
          <w:rFonts w:ascii="宋体" w:hAnsi="宋体" w:eastAsia="宋体" w:cs="等线"/>
          <w:b/>
          <w:bCs/>
          <w:sz w:val="21"/>
          <w:szCs w:val="21"/>
        </w:rPr>
      </w:pPr>
      <w:r>
        <w:rPr>
          <w:rFonts w:hint="eastAsia" w:ascii="宋体" w:hAnsi="宋体" w:eastAsia="宋体" w:cs="等线"/>
          <w:b/>
          <w:bCs/>
          <w:sz w:val="21"/>
          <w:szCs w:val="21"/>
        </w:rPr>
        <w:t xml:space="preserve">五、开启</w:t>
      </w:r>
      <w:r/>
    </w:p>
    <w:p>
      <w:pPr>
        <w:ind w:firstLine="420"/>
        <w:spacing w:line="276" w:lineRule="auto"/>
        <w:rPr>
          <w:rFonts w:ascii="宋体" w:hAnsi="宋体" w:eastAsia="宋体" w:cs="等线"/>
          <w:sz w:val="21"/>
          <w:szCs w:val="21"/>
          <w:u w:val="none"/>
        </w:rPr>
      </w:pPr>
      <w:r>
        <w:rPr>
          <w:rFonts w:hint="eastAsia" w:ascii="宋体" w:hAnsi="宋体" w:eastAsia="宋体" w:cs="等线"/>
          <w:sz w:val="21"/>
          <w:szCs w:val="21"/>
        </w:rPr>
        <w:t xml:space="preserve">1、截止时间：</w:t>
      </w:r>
      <w:r>
        <w:rPr>
          <w:rFonts w:ascii="SimSun" w:hAnsi="SimSun" w:eastAsia="SimSun" w:cs="SimSun"/>
          <w:color w:val="000000"/>
          <w:sz w:val="21"/>
        </w:rPr>
        <w:t xml:space="preserve">2026年1月14日</w:t>
      </w:r>
      <w:r>
        <w:rPr>
          <w:rFonts w:ascii="宋体" w:hAnsi="宋体" w:eastAsia="宋体" w:cs="等线"/>
          <w:sz w:val="21"/>
          <w:szCs w:val="21"/>
          <w:u w:val="none"/>
        </w:rPr>
        <w:t xml:space="preserve">13</w:t>
      </w:r>
      <w:r>
        <w:rPr>
          <w:rFonts w:hint="eastAsia" w:ascii="宋体" w:hAnsi="宋体" w:eastAsia="宋体" w:cs="等线"/>
          <w:sz w:val="21"/>
          <w:szCs w:val="21"/>
          <w:u w:val="none"/>
        </w:rPr>
        <w:t xml:space="preserve">点30分（北京时间）</w:t>
      </w:r>
      <w:r>
        <w:rPr>
          <w:u w:val="none"/>
        </w:rPr>
      </w:r>
    </w:p>
    <w:p>
      <w:pPr>
        <w:ind w:firstLine="420"/>
        <w:spacing w:line="276" w:lineRule="auto"/>
        <w:rPr>
          <w:rFonts w:ascii="宋体" w:hAnsi="宋体" w:eastAsia="宋体" w:cs="等线"/>
          <w:b/>
          <w:bCs/>
          <w:sz w:val="21"/>
          <w:szCs w:val="21"/>
        </w:rPr>
      </w:pPr>
      <w:r>
        <w:rPr>
          <w:rFonts w:hint="eastAsia" w:ascii="宋体" w:hAnsi="宋体" w:eastAsia="宋体" w:cs="等线"/>
          <w:sz w:val="21"/>
          <w:szCs w:val="21"/>
        </w:rPr>
        <w:t xml:space="preserve">2、地点：</w:t>
      </w:r>
      <w:r>
        <w:rPr>
          <w:rFonts w:hint="eastAsia" w:ascii="宋体" w:hAnsi="宋体" w:eastAsia="宋体" w:cs="等线"/>
          <w:b/>
          <w:bCs/>
          <w:sz w:val="21"/>
          <w:szCs w:val="21"/>
        </w:rPr>
        <w:t xml:space="preserve">“苏采云”系统（网址：http://jszfcg.jsczt.cn/）</w:t>
      </w:r>
      <w:r/>
    </w:p>
    <w:p>
      <w:pPr>
        <w:ind w:firstLine="420"/>
        <w:spacing w:line="276" w:lineRule="auto"/>
        <w:rPr>
          <w:rFonts w:ascii="宋体" w:hAnsi="宋体" w:eastAsia="宋体" w:cs="等线"/>
          <w:b/>
          <w:bCs/>
          <w:sz w:val="21"/>
          <w:szCs w:val="21"/>
        </w:rPr>
      </w:pPr>
      <w:r>
        <w:rPr>
          <w:rFonts w:hint="eastAsia" w:ascii="宋体" w:hAnsi="宋体" w:eastAsia="宋体" w:cs="等线"/>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等线"/>
          <w:b/>
          <w:bCs/>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firstLine="422"/>
        <w:spacing w:line="276" w:lineRule="auto"/>
        <w:rPr>
          <w:rFonts w:ascii="宋体" w:hAnsi="宋体" w:eastAsia="宋体" w:cs="等线"/>
          <w:sz w:val="21"/>
          <w:szCs w:val="21"/>
        </w:rPr>
      </w:pPr>
      <w:r>
        <w:rPr>
          <w:rFonts w:hint="eastAsia" w:ascii="宋体" w:hAnsi="宋体" w:eastAsia="宋体" w:cs="等线"/>
          <w:b/>
          <w:bCs/>
          <w:sz w:val="21"/>
          <w:szCs w:val="21"/>
        </w:rPr>
        <w:t xml:space="preserve">请供应商确保电脑、系统及其他设备（视频输入输出设备等）无误，且开启直至项目结束始终保持系统在线状态。</w:t>
      </w:r>
      <w:r/>
    </w:p>
    <w:p>
      <w:pPr>
        <w:ind w:firstLine="422"/>
        <w:spacing w:line="276" w:lineRule="auto"/>
        <w:rPr>
          <w:rFonts w:ascii="宋体" w:hAnsi="宋体" w:eastAsia="宋体" w:cs="等线"/>
          <w:b/>
          <w:bCs/>
          <w:sz w:val="21"/>
          <w:szCs w:val="21"/>
        </w:rPr>
      </w:pPr>
      <w:r>
        <w:rPr>
          <w:rFonts w:hint="eastAsia" w:ascii="宋体" w:hAnsi="宋体" w:eastAsia="宋体" w:cs="等线"/>
          <w:b/>
          <w:bCs/>
          <w:sz w:val="21"/>
          <w:szCs w:val="21"/>
        </w:rPr>
        <w:t xml:space="preserve">六、公告期限</w:t>
      </w:r>
      <w:bookmarkEnd w:id="11"/>
      <w:r/>
      <w:bookmarkEnd w:id="12"/>
      <w:r/>
      <w:bookmarkEnd w:id="13"/>
      <w:r/>
      <w:bookmarkEnd w:id="14"/>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自本公告发布之日起5个工作日。</w:t>
      </w:r>
      <w:r/>
    </w:p>
    <w:p>
      <w:pPr>
        <w:ind w:firstLine="422"/>
        <w:spacing w:line="276" w:lineRule="auto"/>
        <w:rPr>
          <w:rFonts w:ascii="宋体" w:hAnsi="宋体" w:eastAsia="宋体" w:cs="等线"/>
          <w:b/>
          <w:bCs/>
          <w:sz w:val="21"/>
          <w:szCs w:val="21"/>
        </w:rPr>
      </w:pPr>
      <w:r/>
      <w:bookmarkStart w:id="15" w:name="_Toc35393635"/>
      <w:r/>
      <w:bookmarkStart w:id="16" w:name="_Toc35393804"/>
      <w:r>
        <w:rPr>
          <w:rFonts w:hint="eastAsia" w:ascii="宋体" w:hAnsi="宋体" w:eastAsia="宋体" w:cs="等线"/>
          <w:b/>
          <w:bCs/>
          <w:sz w:val="21"/>
          <w:szCs w:val="21"/>
        </w:rPr>
        <w:t xml:space="preserve">七．其他补充事宜</w:t>
      </w:r>
      <w:bookmarkEnd w:id="15"/>
      <w:r/>
      <w:bookmarkEnd w:id="16"/>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1、有关本项目电子投标具体操作方法详见</w:t>
      </w:r>
      <w:r>
        <w:rPr>
          <w:rFonts w:hint="eastAsia" w:ascii="宋体" w:hAnsi="宋体" w:eastAsia="宋体" w:cs="等线"/>
          <w:b/>
          <w:bCs/>
          <w:sz w:val="21"/>
          <w:szCs w:val="21"/>
        </w:rPr>
        <w:t xml:space="preserve">苏采云系统中的客户端使用说明和供应商《操作手册》</w:t>
      </w:r>
      <w:r>
        <w:rPr>
          <w:rFonts w:hint="eastAsia" w:ascii="宋体" w:hAnsi="宋体" w:eastAsia="宋体" w:cs="等线"/>
          <w:sz w:val="21"/>
          <w:szCs w:val="21"/>
        </w:rPr>
        <w:t xml:space="preserve">。</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2、本公告有关信息将同时在江苏省政府采购网、苏州市政府采购网上发布，敬请留意。</w:t>
      </w:r>
      <w:r/>
    </w:p>
    <w:p>
      <w:pPr>
        <w:ind w:firstLine="420"/>
        <w:spacing w:line="276" w:lineRule="auto"/>
        <w:rPr>
          <w:rFonts w:ascii="宋体" w:hAnsi="宋体" w:eastAsia="宋体" w:cs="等线"/>
          <w:sz w:val="21"/>
          <w:szCs w:val="21"/>
        </w:rPr>
      </w:pPr>
      <w:r>
        <w:rPr>
          <w:rFonts w:hint="eastAsia" w:ascii="宋体" w:hAnsi="宋体" w:eastAsia="宋体" w:cs="等线"/>
          <w:sz w:val="21"/>
          <w:szCs w:val="21"/>
        </w:rPr>
        <w:t xml:space="preserve">3、苏州市相城区政府采购监督电话：0512-67591006、0512-67591005。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4、政府采购履约资金扶持政策：中标供应商可凭政府采购合同办理融资贷款，详情请见江苏政府采购网‘政采贷’专栏。</w:t>
      </w:r>
      <w:r/>
    </w:p>
    <w:p>
      <w:pPr>
        <w:ind w:firstLine="422"/>
        <w:spacing w:line="276" w:lineRule="auto"/>
        <w:rPr>
          <w:rFonts w:ascii="宋体" w:hAnsi="宋体" w:eastAsia="宋体" w:cs="等线"/>
          <w:b/>
          <w:bCs/>
          <w:sz w:val="21"/>
          <w:szCs w:val="21"/>
        </w:rPr>
      </w:pPr>
      <w:r>
        <w:rPr>
          <w:rFonts w:hint="eastAsia" w:ascii="宋体" w:hAnsi="宋体" w:eastAsia="宋体" w:cs="等线"/>
          <w:b/>
          <w:bCs/>
          <w:sz w:val="21"/>
          <w:szCs w:val="21"/>
        </w:rPr>
        <w:t xml:space="preserve">八、对本次招标提出询问，请按以下方式联系：</w:t>
      </w:r>
      <w:r/>
    </w:p>
    <w:p>
      <w:pPr>
        <w:ind w:firstLine="420"/>
        <w:spacing w:line="276" w:lineRule="auto"/>
        <w:rPr>
          <w:rFonts w:ascii="宋体" w:hAnsi="宋体" w:eastAsia="宋体"/>
          <w:sz w:val="21"/>
          <w:szCs w:val="21"/>
        </w:rPr>
      </w:pPr>
      <w:r/>
      <w:bookmarkStart w:id="17" w:name="_Toc35393617"/>
      <w:r/>
      <w:bookmarkStart w:id="18" w:name="_Toc28359075"/>
      <w:r/>
      <w:bookmarkStart w:id="19" w:name="_Toc28358998"/>
      <w:r>
        <w:rPr>
          <w:rFonts w:hint="eastAsia" w:ascii="宋体" w:hAnsi="宋体" w:eastAsia="宋体"/>
          <w:sz w:val="21"/>
          <w:szCs w:val="21"/>
        </w:rPr>
        <w:t xml:space="preserve">1、采购人信息</w:t>
      </w:r>
      <w:bookmarkEnd w:id="17"/>
      <w:r/>
      <w:bookmarkEnd w:id="18"/>
      <w:r/>
      <w:bookmarkEnd w:id="19"/>
      <w:r/>
      <w:r/>
    </w:p>
    <w:p>
      <w:pPr>
        <w:ind w:firstLine="420"/>
        <w:spacing w:line="276" w:lineRule="auto"/>
        <w:rPr>
          <w:rFonts w:ascii="宋体" w:hAnsi="宋体" w:eastAsia="宋体"/>
          <w:sz w:val="21"/>
          <w:szCs w:val="21"/>
        </w:rPr>
      </w:pPr>
      <w:r>
        <w:rPr>
          <w:rFonts w:hint="eastAsia" w:ascii="宋体" w:hAnsi="宋体" w:eastAsia="宋体"/>
          <w:sz w:val="21"/>
          <w:szCs w:val="21"/>
        </w:rPr>
        <w:t xml:space="preserve">名称：苏州市相城区黄埭镇人民政府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地址：江苏省苏州市相城区黄埭镇春丰路</w:t>
      </w:r>
      <w:r>
        <w:rPr>
          <w:rFonts w:ascii="宋体" w:hAnsi="宋体" w:eastAsia="宋体"/>
          <w:sz w:val="21"/>
          <w:szCs w:val="21"/>
        </w:rPr>
        <w:t xml:space="preserve">406</w:t>
      </w:r>
      <w:r>
        <w:rPr>
          <w:rFonts w:hint="eastAsia" w:ascii="宋体" w:hAnsi="宋体" w:eastAsia="宋体"/>
          <w:sz w:val="21"/>
          <w:szCs w:val="21"/>
        </w:rPr>
        <w:t xml:space="preserve">号康阳大厦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联系人：滕飞</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0512-65400162</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2、采购代理机构信息</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名称：苏州公正建设咨询房地产评估有限公司</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地址：苏州市相城区华元路1902号2幢东楼2楼</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联系人：沈燕、陆帏帏、项陈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联系电话：0512-67913588-6001</w:t>
      </w:r>
      <w:r/>
    </w:p>
    <w:p>
      <w:pPr>
        <w:jc w:val="center"/>
        <w:spacing w:line="360" w:lineRule="auto"/>
        <w:rPr>
          <w:rFonts w:ascii="宋体" w:hAnsi="宋体" w:eastAsia="宋体"/>
          <w:b/>
          <w:sz w:val="32"/>
          <w:szCs w:val="32"/>
        </w:rPr>
        <w:outlineLvl w:val="0"/>
      </w:pPr>
      <w:r/>
      <w:bookmarkStart w:id="20" w:name="_Toc142194256"/>
      <w:r/>
      <w:bookmarkStart w:id="21" w:name="_Toc13642113"/>
      <w:r/>
      <w:bookmarkStart w:id="22" w:name="_Toc35951272"/>
      <w:r/>
      <w:bookmarkStart w:id="23" w:name="_Toc492394285"/>
      <w:r/>
      <w:bookmarkEnd w:id="20"/>
      <w:r/>
      <w:bookmarkEnd w:id="21"/>
      <w:r>
        <w:rPr>
          <w:rFonts w:ascii="宋体" w:hAnsi="宋体" w:eastAsia="宋体"/>
          <w:b/>
          <w:sz w:val="32"/>
          <w:szCs w:val="32"/>
        </w:rPr>
        <w:br w:type="page" w:clear="all"/>
      </w:r>
      <w:r>
        <w:rPr>
          <w:rFonts w:hint="eastAsia" w:ascii="宋体" w:hAnsi="宋体" w:eastAsia="宋体"/>
          <w:b/>
          <w:sz w:val="32"/>
          <w:szCs w:val="32"/>
        </w:rPr>
        <w:t xml:space="preserve">第二章 投标人须知</w:t>
      </w:r>
      <w:bookmarkEnd w:id="22"/>
      <w:r/>
      <w:bookmarkEnd w:id="23"/>
      <w:r/>
      <w:r/>
    </w:p>
    <w:p>
      <w:pPr>
        <w:numPr>
          <w:ilvl w:val="0"/>
          <w:numId w:val="3"/>
        </w:numPr>
        <w:spacing w:line="400" w:lineRule="exact"/>
        <w:rPr>
          <w:rFonts w:ascii="宋体" w:hAnsi="宋体" w:eastAsia="宋体"/>
          <w:b/>
          <w:sz w:val="21"/>
          <w:szCs w:val="21"/>
        </w:rPr>
      </w:pPr>
      <w:r/>
      <w:bookmarkStart w:id="24" w:name="_Toc142194265"/>
      <w:r/>
      <w:bookmarkStart w:id="25" w:name="_Toc13642114"/>
      <w:r>
        <w:rPr>
          <w:rFonts w:hint="eastAsia" w:ascii="宋体" w:hAnsi="宋体" w:eastAsia="宋体"/>
          <w:b/>
          <w:sz w:val="21"/>
          <w:szCs w:val="21"/>
        </w:rPr>
        <w:t xml:space="preserve">说明和释义</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说明</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1.1本招标文件仅适用于苏州公正建设咨询房地产评估有限公司组织的招标活动。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1.2本次招标活动及因本次招标产生的合同受中国法律制约和保护。</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1.3本招标文件的解释权属于苏州公正建设咨询房地产评估有限公司。</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词语释义</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2.1.采购人：指依法进行政府采购的国家机关、事业单位、团体组织。</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2.2.供应商：指向采购人提供货物、工程或服务的法人、其他组织或者自然人。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2.3.投标人：指参加政府采购货物服务投标活动的供应商。</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2.4.采购代理机构：指依法接受采购人委托，从事货物、工程和服务等政府采购招标代理业务的社会中介机构。</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2.5.招标代理机构：采购人及采购代理机构的统称。</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2.6.评标委员会：是指在招标投标和政府采购活动中，依法由采购人代表和有关技术、经济等方面的专家组建，负责对投标文件进行评审并提出评审意见的临时性权威机构。</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2.7.响应：投标人根据采购人或采购代理机构发售的招标文件，编制投标文件并按规定投标的行为。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2.8.知识产权：指专利权、商标权、著作权等无形财产专有权的统称。</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2.9.天：日历日。</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2.10.服务地点：合同中明确约定的乙方履行服务的最终地点。</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2.11.不可抗力：不能预见、不能避免并且不能克服的客观情况。</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2.12.实质性响应：满足有关本次采购标的、数量、质量、价款或者报酬、履行期限、履行地点和方式、违约责任和解决争议方法等要求。</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2.13.书面形式：指书面文字、合同书、信件和传真等可以有形地表现所载内容的形式。</w:t>
      </w:r>
      <w:r/>
    </w:p>
    <w:p>
      <w:pPr>
        <w:numPr>
          <w:ilvl w:val="0"/>
          <w:numId w:val="3"/>
        </w:numPr>
        <w:spacing w:line="400" w:lineRule="exact"/>
        <w:rPr>
          <w:rFonts w:ascii="宋体" w:hAnsi="宋体" w:eastAsia="宋体"/>
          <w:b/>
          <w:sz w:val="21"/>
          <w:szCs w:val="21"/>
        </w:rPr>
      </w:pPr>
      <w:r>
        <w:rPr>
          <w:rFonts w:hint="eastAsia" w:ascii="宋体" w:hAnsi="宋体" w:eastAsia="宋体"/>
          <w:b/>
          <w:sz w:val="21"/>
          <w:szCs w:val="21"/>
        </w:rPr>
        <w:t xml:space="preserve">投标人</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合格投标人的基本条件</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符合《中华人民共和国政府采购法》第二十二条之规定。</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合格投标人的特定条件</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详见投标人资格要求。</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投标人必须从</w:t>
      </w:r>
      <w:r>
        <w:rPr>
          <w:rFonts w:hint="eastAsia" w:ascii="宋体" w:hAnsi="宋体" w:eastAsia="宋体"/>
          <w:b/>
          <w:sz w:val="21"/>
          <w:szCs w:val="21"/>
        </w:rPr>
        <w:t xml:space="preserve">“苏采云”系统（网址：http://jszfcg.jsczt.cn/）系统进行报名，否则不能参加本次招标活动。</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投标人代表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指全权代表投标人参加投标活动并签署投标文件的人，如果投标人代表不是法人代表，须持有《法定代表人授权委托书》（详见统一格式）。</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联合投标</w:t>
      </w:r>
      <w:r/>
    </w:p>
    <w:p>
      <w:pPr>
        <w:ind w:firstLine="422"/>
        <w:spacing w:line="400" w:lineRule="exact"/>
        <w:rPr>
          <w:rFonts w:ascii="宋体" w:hAnsi="宋体" w:eastAsia="宋体"/>
          <w:b/>
          <w:bCs/>
          <w:sz w:val="21"/>
          <w:szCs w:val="21"/>
        </w:rPr>
      </w:pPr>
      <w:r>
        <w:rPr>
          <w:rFonts w:hint="eastAsia" w:ascii="宋体" w:hAnsi="宋体" w:eastAsia="宋体"/>
          <w:b/>
          <w:bCs/>
          <w:sz w:val="21"/>
          <w:szCs w:val="21"/>
        </w:rPr>
        <w:t xml:space="preserve">本项目不接受联合体投标。</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投标费用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投标人应自行承担所有准备及参加投标的相关费用。不论投标结果如何，采购人和采购代理机构在任何情况下均无义务也无责任承担这些费用。</w:t>
      </w:r>
      <w:r/>
    </w:p>
    <w:p>
      <w:pPr>
        <w:numPr>
          <w:ilvl w:val="0"/>
          <w:numId w:val="3"/>
        </w:numPr>
        <w:spacing w:line="400" w:lineRule="exact"/>
        <w:rPr>
          <w:rFonts w:ascii="宋体" w:hAnsi="宋体" w:eastAsia="宋体"/>
          <w:b/>
          <w:sz w:val="21"/>
          <w:szCs w:val="21"/>
        </w:rPr>
      </w:pPr>
      <w:r>
        <w:rPr>
          <w:rFonts w:hint="eastAsia" w:ascii="宋体" w:hAnsi="宋体" w:eastAsia="宋体"/>
          <w:b/>
          <w:sz w:val="21"/>
          <w:szCs w:val="21"/>
        </w:rPr>
        <w:t xml:space="preserve">招标文件说明</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招标文件</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9.1.招标文件由招标文件目录所列内容组成，投标人获取招标文件后，应仔细检查招标文件的所有内容，如有残缺等问题应在获取招标文件规定时间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9.2.招标文件及其更正文件不是直接从指定媒介获得的，招标代理机构对招标文件及其补遗的真实性、完整性不承担任何责任。</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现场勘察</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10.1.招标人将不组织投标人进行集中勘察现场，投标人可自行对有关现场和周围环境进行勘察，以获取编制投标文件和签署合同所需的信息。勘察现场所发生的费用由投标人自己承担。</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10.2.招标代理机构向投标人提供的有关现场的资料和数据，是招标代理机构现有的并认为能使投标人可利用的资料。招标代理机构对投标人由此而做出的推论、理解和结论概不负责。</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招标文件的澄清和修改</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11.1.投标人在获取招标文件后，若有问题需要询问和澄清，应按前规定提出，澄清和提疑须以书面形式向采购代理机构提出，采购代理机构将以书面形式的方式予以解答（包括对询问的解释，但不说明来源），答复将送给所有招标文件的收受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11.2.迟于前附表规定的询问和提交的疑问，采购人和采购代理机构有权拒绝回答，也不承担由此带来的对投标人投标结果的影响。</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11.3.在投标截止时间15日前，招标代理机构无论出于自己的考虑，还是出于对投标人提问的澄清，均可对已发出的招标文件进行必要澄清或者修改。</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11.4.为使投标人有足够的时间按招标文件的修改要求考虑修正投标文件，或出于其他原因，招标代理机构有权推迟投标截止日期和开标日期，将此变更通知所有招标文件的收受人。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11.5.招标文件的更正（含澄清、修改等）内容与原招标文件在同一内容上表述不一致时，以发出日期最接近开标时间的公告为准。</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11.6.招标文件的更正（含澄清、修改等）内容将在财政部门指定的政府采购信息发布媒体上发布，作为招标文件的组成部分，对投标人起约束作用。</w:t>
      </w:r>
      <w:r/>
    </w:p>
    <w:p>
      <w:pPr>
        <w:numPr>
          <w:ilvl w:val="0"/>
          <w:numId w:val="3"/>
        </w:numPr>
        <w:spacing w:line="400" w:lineRule="exact"/>
        <w:rPr>
          <w:rFonts w:ascii="宋体" w:hAnsi="宋体" w:eastAsia="宋体"/>
          <w:b/>
          <w:sz w:val="21"/>
          <w:szCs w:val="21"/>
        </w:rPr>
      </w:pPr>
      <w:r>
        <w:rPr>
          <w:rFonts w:hint="eastAsia" w:ascii="宋体" w:hAnsi="宋体" w:eastAsia="宋体"/>
          <w:b/>
          <w:sz w:val="21"/>
          <w:szCs w:val="21"/>
        </w:rPr>
        <w:t xml:space="preserve">投标文件说明</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投标文件计量单位和使用文字</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12.1.投标文件中所使用的计量单位，除招标文件中有特殊要求外，均应使用中华人民共和国法定计量单位。</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12.2.投标文件应使用中文编制，投标文件中必须使用其他文字的，必须附有中文译本，且以中文译本为准。对于未附有中文译本和中文译本不准确的投标文件可能引起的对投标人不利的后果，招标代理机构概不负责。</w:t>
      </w:r>
      <w:r/>
    </w:p>
    <w:p>
      <w:pPr>
        <w:numPr>
          <w:ilvl w:val="0"/>
          <w:numId w:val="4"/>
        </w:numPr>
        <w:spacing w:line="400" w:lineRule="exact"/>
        <w:rPr>
          <w:rFonts w:ascii="宋体" w:hAnsi="宋体" w:eastAsia="宋体"/>
          <w:b/>
          <w:sz w:val="21"/>
          <w:szCs w:val="21"/>
        </w:rPr>
      </w:pPr>
      <w:r/>
      <w:bookmarkStart w:id="26" w:name="_Toc217446047"/>
      <w:r>
        <w:rPr>
          <w:rFonts w:hint="eastAsia" w:ascii="宋体" w:hAnsi="宋体" w:eastAsia="宋体"/>
          <w:b/>
          <w:sz w:val="21"/>
          <w:szCs w:val="21"/>
        </w:rPr>
        <w:t xml:space="preserve">知识产权</w:t>
      </w:r>
      <w:bookmarkEnd w:id="26"/>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4"/>
        </w:numPr>
        <w:spacing w:line="400" w:lineRule="exact"/>
        <w:rPr>
          <w:rFonts w:ascii="宋体" w:hAnsi="宋体" w:eastAsia="宋体"/>
          <w:b/>
          <w:sz w:val="21"/>
          <w:szCs w:val="21"/>
        </w:rPr>
      </w:pPr>
      <w:r>
        <w:rPr>
          <w:rFonts w:hint="eastAsia" w:ascii="宋体" w:hAnsi="宋体" w:eastAsia="宋体"/>
          <w:b/>
          <w:sz w:val="21"/>
          <w:szCs w:val="21"/>
        </w:rPr>
        <w:t xml:space="preserve">投标文件的组成和顺序</w:t>
      </w:r>
      <w:r/>
    </w:p>
    <w:p>
      <w:pPr>
        <w:numPr>
          <w:ilvl w:val="1"/>
          <w:numId w:val="4"/>
        </w:numPr>
        <w:ind w:left="0" w:firstLine="422"/>
        <w:spacing w:line="400" w:lineRule="exact"/>
        <w:rPr>
          <w:rFonts w:ascii="宋体" w:hAnsi="宋体" w:eastAsia="宋体"/>
          <w:b/>
          <w:sz w:val="21"/>
          <w:szCs w:val="21"/>
        </w:rPr>
      </w:pPr>
      <w:r>
        <w:rPr>
          <w:rFonts w:hint="eastAsia" w:ascii="宋体" w:hAnsi="宋体" w:eastAsia="宋体"/>
          <w:b/>
          <w:sz w:val="21"/>
          <w:szCs w:val="21"/>
        </w:rPr>
        <w:t xml:space="preserve">报价部分（详见投标文件格式）：</w:t>
      </w:r>
      <w:r/>
    </w:p>
    <w:p>
      <w:pPr>
        <w:numPr>
          <w:ilvl w:val="2"/>
          <w:numId w:val="4"/>
        </w:numPr>
        <w:ind w:left="0" w:firstLine="420"/>
        <w:spacing w:line="400" w:lineRule="exact"/>
        <w:rPr>
          <w:rFonts w:ascii="宋体" w:hAnsi="宋体" w:eastAsia="宋体"/>
          <w:sz w:val="21"/>
          <w:szCs w:val="21"/>
        </w:rPr>
      </w:pPr>
      <w:r>
        <w:rPr>
          <w:rFonts w:hint="eastAsia" w:ascii="宋体" w:hAnsi="宋体" w:eastAsia="宋体"/>
          <w:sz w:val="21"/>
          <w:szCs w:val="21"/>
        </w:rPr>
        <w:t xml:space="preserve">《开标一览表》(统一格式)。</w:t>
      </w:r>
      <w:r/>
    </w:p>
    <w:p>
      <w:pPr>
        <w:numPr>
          <w:ilvl w:val="2"/>
          <w:numId w:val="4"/>
        </w:numPr>
        <w:ind w:hanging="283"/>
        <w:spacing w:line="400" w:lineRule="exact"/>
        <w:rPr>
          <w:rFonts w:ascii="宋体" w:hAnsi="宋体" w:eastAsia="宋体"/>
          <w:sz w:val="21"/>
          <w:szCs w:val="21"/>
        </w:rPr>
      </w:pPr>
      <w:r>
        <w:rPr>
          <w:rFonts w:hint="eastAsia" w:ascii="宋体" w:hAnsi="宋体" w:eastAsia="宋体"/>
          <w:sz w:val="21"/>
          <w:szCs w:val="21"/>
        </w:rPr>
        <w:t xml:space="preserve">投标报价明细表。</w:t>
      </w:r>
      <w:r/>
    </w:p>
    <w:p>
      <w:pPr>
        <w:numPr>
          <w:ilvl w:val="1"/>
          <w:numId w:val="4"/>
        </w:numPr>
        <w:ind w:left="0" w:firstLine="422"/>
        <w:spacing w:line="400" w:lineRule="exact"/>
        <w:tabs>
          <w:tab w:val="left" w:pos="993" w:leader="none"/>
        </w:tabs>
        <w:rPr>
          <w:rFonts w:ascii="宋体" w:hAnsi="宋体" w:eastAsia="宋体"/>
          <w:sz w:val="21"/>
          <w:szCs w:val="21"/>
        </w:rPr>
      </w:pPr>
      <w:r>
        <w:rPr>
          <w:rFonts w:hint="eastAsia" w:ascii="宋体" w:hAnsi="宋体" w:eastAsia="宋体"/>
          <w:b/>
          <w:sz w:val="21"/>
          <w:szCs w:val="21"/>
        </w:rPr>
        <w:t xml:space="preserve">投标文件正文部分（包含资质证明和技术部分）</w:t>
      </w:r>
      <w:r>
        <w:rPr>
          <w:rFonts w:hint="eastAsia" w:ascii="宋体" w:hAnsi="宋体" w:eastAsia="宋体"/>
          <w:sz w:val="21"/>
          <w:szCs w:val="21"/>
        </w:rPr>
        <w:t xml:space="preserve">：</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投标函。</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投标（响应）保证承诺书。</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sz w:val="21"/>
          <w:szCs w:val="21"/>
        </w:rPr>
        <w:t xml:space="preserve">关于资格文件的声明函</w:t>
      </w:r>
      <w:r>
        <w:rPr>
          <w:rFonts w:hint="eastAsia" w:ascii="宋体" w:hAnsi="宋体" w:eastAsia="宋体"/>
          <w:bCs/>
          <w:sz w:val="21"/>
          <w:szCs w:val="21"/>
        </w:rPr>
        <w:t xml:space="preserve">。</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投标人基本情况表。</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投标人法定代表人授权委托书（如有授权）。</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投标人法定代表人身份证复印件。</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投标人代理人身份证复印件（如有授权）。</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《营业执照》</w:t>
      </w:r>
      <w:r>
        <w:rPr>
          <w:rFonts w:hint="eastAsia" w:ascii="宋体" w:hAnsi="宋体" w:eastAsia="宋体"/>
          <w:bCs/>
          <w:sz w:val="21"/>
          <w:szCs w:val="21"/>
        </w:rPr>
        <w:t xml:space="preserve">。</w:t>
      </w:r>
      <w:r/>
    </w:p>
    <w:p>
      <w:pPr>
        <w:numPr>
          <w:ilvl w:val="2"/>
          <w:numId w:val="4"/>
        </w:numPr>
        <w:ind w:hanging="283"/>
        <w:spacing w:line="400" w:lineRule="exact"/>
        <w:rPr>
          <w:rFonts w:ascii="宋体" w:hAnsi="宋体" w:eastAsia="宋体"/>
          <w:bCs/>
          <w:sz w:val="21"/>
          <w:szCs w:val="21"/>
        </w:rPr>
      </w:pPr>
      <w:r>
        <w:rPr>
          <w:rFonts w:hint="eastAsia" w:ascii="宋体" w:hAnsi="宋体" w:eastAsia="宋体"/>
          <w:bCs/>
          <w:sz w:val="21"/>
          <w:szCs w:val="21"/>
        </w:rPr>
        <w:t xml:space="preserve">最近一期经审计的财务报告，其他组织、自然人及成立未满一年的法人应提供银行出具的资信证明。</w:t>
      </w:r>
      <w:r/>
    </w:p>
    <w:p>
      <w:pPr>
        <w:numPr>
          <w:ilvl w:val="2"/>
          <w:numId w:val="4"/>
        </w:numPr>
        <w:ind w:hanging="283"/>
        <w:spacing w:line="400" w:lineRule="exact"/>
        <w:tabs>
          <w:tab w:val="left" w:pos="284" w:leader="none"/>
          <w:tab w:val="left" w:pos="567" w:leader="none"/>
        </w:tabs>
        <w:rPr>
          <w:rFonts w:ascii="宋体" w:hAnsi="宋体" w:eastAsia="宋体"/>
          <w:bCs/>
          <w:sz w:val="21"/>
          <w:szCs w:val="21"/>
        </w:rPr>
      </w:pPr>
      <w:r>
        <w:rPr>
          <w:rFonts w:hint="eastAsia" w:ascii="宋体" w:hAnsi="宋体" w:eastAsia="宋体"/>
          <w:bCs/>
          <w:sz w:val="21"/>
          <w:szCs w:val="21"/>
        </w:rPr>
        <w:t xml:space="preserve">有依法缴纳税收和社会保障资金的良好记录。（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numPr>
          <w:ilvl w:val="2"/>
          <w:numId w:val="4"/>
        </w:numPr>
        <w:ind w:hanging="283"/>
        <w:spacing w:line="400" w:lineRule="exact"/>
        <w:tabs>
          <w:tab w:val="left" w:pos="284" w:leader="none"/>
          <w:tab w:val="left" w:pos="567" w:leader="none"/>
        </w:tabs>
        <w:rPr>
          <w:rFonts w:ascii="宋体" w:hAnsi="宋体" w:eastAsia="宋体"/>
          <w:bCs/>
          <w:sz w:val="21"/>
          <w:szCs w:val="21"/>
        </w:rPr>
      </w:pPr>
      <w:r>
        <w:rPr>
          <w:rFonts w:hint="eastAsia" w:ascii="宋体" w:hAnsi="宋体" w:eastAsia="宋体"/>
          <w:bCs/>
          <w:sz w:val="21"/>
          <w:szCs w:val="21"/>
        </w:rPr>
        <w:t xml:space="preserve">履行合同所必备的设备和专业技术能力的证明材料。</w:t>
      </w:r>
      <w:r/>
    </w:p>
    <w:p>
      <w:pPr>
        <w:numPr>
          <w:ilvl w:val="2"/>
          <w:numId w:val="4"/>
        </w:numPr>
        <w:ind w:left="0" w:firstLine="420"/>
        <w:spacing w:line="400" w:lineRule="exact"/>
        <w:rPr>
          <w:rFonts w:ascii="宋体" w:hAnsi="宋体" w:eastAsia="宋体" w:cs="宋体"/>
          <w:bCs/>
          <w:sz w:val="21"/>
          <w:szCs w:val="21"/>
        </w:rPr>
      </w:pPr>
      <w:r>
        <w:rPr>
          <w:rFonts w:hint="eastAsia" w:ascii="宋体" w:hAnsi="宋体" w:eastAsia="宋体"/>
          <w:bCs/>
          <w:sz w:val="21"/>
          <w:szCs w:val="21"/>
        </w:rPr>
        <w:t xml:space="preserve">参加政府采购活动前三年内在经营活动中没有重大违法记录的书面声明函。</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中小企业声明函或残疾人福利性单位声明函</w:t>
      </w:r>
      <w:r>
        <w:rPr>
          <w:rFonts w:hint="eastAsia" w:ascii="宋体" w:hAnsi="宋体" w:eastAsia="宋体"/>
          <w:bCs/>
          <w:sz w:val="21"/>
          <w:szCs w:val="21"/>
        </w:rPr>
        <w:t xml:space="preserve">等</w:t>
      </w:r>
      <w:r>
        <w:rPr>
          <w:rFonts w:hint="eastAsia" w:ascii="宋体" w:hAnsi="宋体" w:eastAsia="宋体"/>
          <w:bCs/>
          <w:sz w:val="21"/>
          <w:szCs w:val="21"/>
        </w:rPr>
        <w:t xml:space="preserve">。</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《技术要求偏离表》、《商务条款偏离表》。</w:t>
      </w:r>
      <w:bookmarkStart w:id="27" w:name="_GoBack"/>
      <w:r/>
      <w:bookmarkEnd w:id="27"/>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投标人与其他单位存在控股、管理关系情况表。</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针对本项目的技术方案、项目组织管理措施。</w:t>
      </w:r>
      <w:r/>
    </w:p>
    <w:p>
      <w:pPr>
        <w:numPr>
          <w:ilvl w:val="2"/>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拟投入本项目人员。</w:t>
      </w:r>
      <w:r/>
    </w:p>
    <w:p>
      <w:pPr>
        <w:numPr>
          <w:ilvl w:val="2"/>
          <w:numId w:val="4"/>
        </w:numPr>
        <w:ind w:left="0" w:firstLine="420"/>
        <w:spacing w:line="400" w:lineRule="exact"/>
        <w:tabs>
          <w:tab w:val="left" w:pos="851" w:leader="none"/>
        </w:tabs>
        <w:rPr>
          <w:rFonts w:ascii="宋体" w:hAnsi="宋体" w:eastAsia="宋体"/>
          <w:bCs/>
          <w:sz w:val="21"/>
          <w:szCs w:val="21"/>
        </w:rPr>
      </w:pPr>
      <w:r>
        <w:rPr>
          <w:rFonts w:hint="eastAsia" w:ascii="宋体" w:hAnsi="宋体" w:eastAsia="宋体"/>
          <w:bCs/>
          <w:sz w:val="21"/>
          <w:szCs w:val="21"/>
        </w:rPr>
        <w:t xml:space="preserve">履约能力。</w:t>
      </w:r>
      <w:r/>
    </w:p>
    <w:p>
      <w:pPr>
        <w:numPr>
          <w:ilvl w:val="2"/>
          <w:numId w:val="4"/>
        </w:numPr>
        <w:ind w:left="0" w:firstLine="420"/>
        <w:spacing w:line="400" w:lineRule="exact"/>
        <w:tabs>
          <w:tab w:val="left" w:pos="851" w:leader="none"/>
        </w:tabs>
        <w:rPr>
          <w:rFonts w:ascii="宋体" w:hAnsi="宋体" w:eastAsia="宋体"/>
          <w:bCs/>
          <w:sz w:val="21"/>
          <w:szCs w:val="21"/>
        </w:rPr>
      </w:pPr>
      <w:r>
        <w:rPr>
          <w:rFonts w:hint="eastAsia" w:ascii="宋体" w:hAnsi="宋体" w:eastAsia="宋体"/>
          <w:bCs/>
          <w:sz w:val="21"/>
          <w:szCs w:val="21"/>
        </w:rPr>
        <w:t xml:space="preserve">其他可以证明投标人资信、资质和货物、服务质量的证书、文件、推荐信等资料（评分标准中涉及的内容）。</w:t>
      </w:r>
      <w:r/>
    </w:p>
    <w:p>
      <w:pPr>
        <w:ind w:firstLine="422"/>
        <w:spacing w:line="400" w:lineRule="exact"/>
        <w:tabs>
          <w:tab w:val="left" w:pos="0" w:leader="none"/>
        </w:tabs>
        <w:rPr>
          <w:rFonts w:ascii="宋体" w:hAnsi="宋体" w:eastAsia="宋体"/>
          <w:b/>
          <w:bCs/>
          <w:sz w:val="21"/>
          <w:szCs w:val="21"/>
        </w:rPr>
      </w:pPr>
      <w:r>
        <w:rPr>
          <w:rFonts w:hint="eastAsia" w:ascii="宋体" w:hAnsi="宋体" w:eastAsia="宋体"/>
          <w:b/>
          <w:bCs/>
          <w:sz w:val="21"/>
          <w:szCs w:val="21"/>
        </w:rPr>
        <w:t xml:space="preserve">注：1、投标人必须提交上述14.1.1—14.2.1</w:t>
      </w:r>
      <w:r>
        <w:rPr>
          <w:rFonts w:ascii="宋体" w:hAnsi="宋体" w:eastAsia="宋体"/>
          <w:b/>
          <w:bCs/>
          <w:sz w:val="21"/>
          <w:szCs w:val="21"/>
        </w:rPr>
        <w:t xml:space="preserve">4</w:t>
      </w:r>
      <w:r>
        <w:rPr>
          <w:rFonts w:hint="eastAsia" w:ascii="宋体" w:hAnsi="宋体" w:eastAsia="宋体"/>
          <w:b/>
          <w:bCs/>
          <w:sz w:val="21"/>
          <w:szCs w:val="21"/>
        </w:rPr>
        <w:t xml:space="preserve">款规定的资料。否则，投标文件将因资格性条件不符或未实质性响应招标文件而被拒绝；</w:t>
      </w:r>
      <w:r/>
    </w:p>
    <w:p>
      <w:pPr>
        <w:ind w:firstLine="422"/>
        <w:spacing w:line="400" w:lineRule="exact"/>
        <w:tabs>
          <w:tab w:val="left" w:pos="0" w:leader="none"/>
        </w:tabs>
        <w:rPr>
          <w:rFonts w:ascii="宋体" w:hAnsi="宋体" w:eastAsia="宋体"/>
          <w:bCs/>
          <w:sz w:val="21"/>
          <w:szCs w:val="21"/>
        </w:rPr>
      </w:pPr>
      <w:r>
        <w:rPr>
          <w:rFonts w:hint="eastAsia" w:ascii="宋体" w:hAnsi="宋体" w:eastAsia="宋体"/>
          <w:b/>
          <w:sz w:val="21"/>
          <w:szCs w:val="21"/>
        </w:rPr>
        <w:t xml:space="preserve">2、投标文件正文部分（资质证明和技术部分）中不得出现投标总报价。</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14.3投标文件由14.1和14.2款规定的内容共同组成。</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14.4制作电子投标文件时必须与投标文件制作软件目录一一对应，将相关资料上传至相应模块。</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14.5开评标过程中如有问题采购代理机构工作人员会及时通过《投标供应商确认函》留存的手机号与供应商联系。请供应商确保该手机号通讯畅通，否则导致的不利后果由供应商自行承担。</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投标文件编制要求</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15.1.投标文件按统一格式、顺序编写。</w:t>
      </w:r>
      <w:r/>
    </w:p>
    <w:p>
      <w:pPr>
        <w:ind w:firstLine="420"/>
        <w:spacing w:line="400" w:lineRule="exact"/>
        <w:rPr>
          <w:rFonts w:ascii="宋体" w:hAnsi="宋体" w:eastAsia="宋体"/>
          <w:b/>
          <w:bCs/>
          <w:sz w:val="21"/>
          <w:szCs w:val="21"/>
        </w:rPr>
      </w:pPr>
      <w:r>
        <w:rPr>
          <w:rFonts w:hint="eastAsia" w:ascii="宋体" w:hAnsi="宋体" w:eastAsia="宋体"/>
          <w:bCs/>
          <w:sz w:val="21"/>
          <w:szCs w:val="21"/>
        </w:rPr>
        <w:t xml:space="preserve">15.2.《开标一览表》为在开标仪式上唱标的内容，要求按格式填写，统一规范，不得自行增减内容。</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投标报价（编制）要求的说明</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16.1.投标报价应包括完成该标的物全部内容的一切费用。投标报价为最终报价，投标人所报价格在合同实施期间不因市场变化因素而变动。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16.2.投标人应按《投标报价表》中的全部货物和服务计算单价和总价。《投标报价表》中的每一单项均应计算并填写单价和总价，并由法定代表人或代理人签署。</w:t>
      </w:r>
      <w:r/>
    </w:p>
    <w:p>
      <w:pPr>
        <w:ind w:firstLine="420"/>
        <w:spacing w:line="400" w:lineRule="exact"/>
        <w:rPr>
          <w:rFonts w:ascii="宋体" w:hAnsi="宋体" w:eastAsia="宋体"/>
          <w:b/>
          <w:sz w:val="21"/>
          <w:szCs w:val="21"/>
        </w:rPr>
      </w:pPr>
      <w:r>
        <w:rPr>
          <w:rFonts w:hint="eastAsia" w:ascii="宋体" w:hAnsi="宋体" w:eastAsia="宋体"/>
          <w:bCs/>
          <w:sz w:val="21"/>
          <w:szCs w:val="21"/>
        </w:rPr>
        <w:t xml:space="preserve">16.3.投标人应对招标文件内所要采购的全部内容进行报价，只投其中部分内容者，其标书将被拒绝。</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16.4.一项投标内容只允许一个报价，采购代理机构不接受任何有选择性的投标报价。</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16.5.投标文件报价中的单价和总价全部采用人民币表示，除非合同的特殊条款另有规定。</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投标保证金：无</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投标文件的有效期</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18.1.在本招标文件前附表规定的投标有效期内，投标人所提交的投标文件应保持有效。有效期短于这个规定期限的投标，将被拒绝。</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18.2.在特殊情况下，招标代理机构可与投标人协商延长投标书的有效期。这种要求和答复都应以书面形式进行。同意延长有效期的投标人不能修改投标文件。</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投标文件的制作、签署、上传</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本项目采用电子招投标形式，请供应商按照《苏采云系统供应商操作手册》进行制作、上传电子投标文件。</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制作电子投标文件时，应按照招标文件要求加盖投标人电子公章。</w:t>
      </w:r>
      <w:r/>
    </w:p>
    <w:p>
      <w:pPr>
        <w:numPr>
          <w:ilvl w:val="1"/>
          <w:numId w:val="4"/>
        </w:numPr>
        <w:ind w:left="0" w:firstLine="422"/>
        <w:spacing w:line="400" w:lineRule="exact"/>
        <w:rPr>
          <w:rFonts w:ascii="宋体" w:hAnsi="宋体" w:eastAsia="宋体"/>
          <w:b/>
          <w:bCs/>
          <w:sz w:val="21"/>
          <w:szCs w:val="21"/>
        </w:rPr>
      </w:pPr>
      <w:r>
        <w:rPr>
          <w:rFonts w:hint="eastAsia" w:ascii="宋体" w:hAnsi="宋体" w:eastAsia="宋体"/>
          <w:b/>
          <w:sz w:val="21"/>
          <w:szCs w:val="21"/>
        </w:rPr>
        <w:t xml:space="preserve">电子投标文件制作完成后请于投标文件网上提交截止时间前成功上传至“苏采云”系统，否</w:t>
      </w:r>
      <w:r>
        <w:rPr>
          <w:rFonts w:hint="eastAsia" w:ascii="宋体" w:hAnsi="宋体" w:eastAsia="宋体"/>
          <w:b/>
          <w:sz w:val="21"/>
          <w:szCs w:val="21"/>
        </w:rPr>
        <w:t xml:space="preserve">则视为放弃参加该采购项目。</w:t>
      </w:r>
      <w:r>
        <w:rPr>
          <w:rFonts w:hint="eastAsia" w:ascii="宋体" w:hAnsi="宋体" w:eastAsia="宋体"/>
          <w:bCs/>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0"/>
          <w:numId w:val="3"/>
        </w:numPr>
        <w:spacing w:line="400" w:lineRule="exact"/>
        <w:rPr>
          <w:rFonts w:ascii="宋体" w:hAnsi="宋体" w:eastAsia="宋体"/>
          <w:b/>
          <w:sz w:val="21"/>
          <w:szCs w:val="21"/>
        </w:rPr>
      </w:pPr>
      <w:r>
        <w:rPr>
          <w:rFonts w:hint="eastAsia" w:ascii="宋体" w:hAnsi="宋体" w:eastAsia="宋体"/>
          <w:b/>
          <w:sz w:val="21"/>
          <w:szCs w:val="21"/>
        </w:rPr>
        <w:t xml:space="preserve">投标文件递交及要求</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投标文件的递交</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投标人应当在在投标截止时间前制作并上传电子投标文件。</w:t>
      </w:r>
      <w:r/>
    </w:p>
    <w:p>
      <w:pPr>
        <w:numPr>
          <w:ilvl w:val="1"/>
          <w:numId w:val="4"/>
        </w:numPr>
        <w:ind w:left="0" w:firstLine="422"/>
        <w:jc w:val="left"/>
        <w:spacing w:line="400" w:lineRule="exact"/>
        <w:rPr>
          <w:rFonts w:ascii="宋体" w:hAnsi="宋体" w:eastAsia="宋体"/>
          <w:b/>
          <w:sz w:val="21"/>
          <w:szCs w:val="21"/>
        </w:rPr>
      </w:pPr>
      <w:r>
        <w:rPr>
          <w:rFonts w:hint="eastAsia" w:ascii="宋体" w:hAnsi="宋体" w:eastAsia="宋体"/>
          <w:b/>
          <w:sz w:val="21"/>
          <w:szCs w:val="21"/>
        </w:rPr>
        <w:t xml:space="preserve">投标人通过“苏采云”系统不见面开标大厅在线参与开标活动。（具体操作详见《苏采云系统供应商操作手册》，网址链接https://czju.suzhou.gov.cn/zfcg/html/content/20231220161910031.shtml）</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投标截止时间</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投标人应当在招标文件要求投标文件网上提交截止时间前，将投标文件完成提交（上传）。逾期提交（上传）的投标文件，采购人和采购代理机构拒绝接收。</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在投标截止时间止成功解密的投标文件少于三份，采购代理机构有权宣布本次招标失败。</w:t>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投标文件的补充、修改和撤回</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投标人在投标文件网上提交截止时间前，可以对其电子投标文件进行补充、修改，具体操作方法见《苏采云系统供应商操作手册》。在投标文件网上提交截止时间之后，投标人不得对其电子投标文件作任何修改。</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投标人在投标文件网上提交截止时间前，可以撤回其电子投标文件，</w:t>
      </w:r>
      <w:r>
        <w:rPr>
          <w:rFonts w:hint="eastAsia" w:ascii="宋体" w:hAnsi="宋体" w:eastAsia="宋体"/>
          <w:b/>
          <w:sz w:val="21"/>
          <w:szCs w:val="21"/>
        </w:rPr>
        <w:t xml:space="preserve">具体操作方法见《苏采云系统供应商操作手册》</w:t>
      </w:r>
      <w:r>
        <w:rPr>
          <w:rFonts w:hint="eastAsia" w:ascii="宋体" w:hAnsi="宋体" w:eastAsia="宋体"/>
          <w:bCs/>
          <w:sz w:val="21"/>
          <w:szCs w:val="21"/>
        </w:rPr>
        <w:t xml:space="preserve">。</w:t>
      </w:r>
      <w:bookmarkStart w:id="28" w:name="_Toc22837"/>
      <w:r/>
      <w:bookmarkStart w:id="29" w:name="_Toc29371"/>
      <w:r>
        <w:rPr>
          <w:rFonts w:hint="eastAsia" w:ascii="宋体" w:hAnsi="宋体" w:eastAsia="宋体"/>
          <w:bCs/>
          <w:sz w:val="21"/>
          <w:szCs w:val="21"/>
        </w:rPr>
        <w:t xml:space="preserve">投标人撤回电子投标文件，则认为其不再参与本项目投标活动。在投标截止时间至招标文件中规定的投标有效期满之间的这段时间内，投标人不得撤回其投标。</w:t>
      </w:r>
      <w:r/>
    </w:p>
    <w:p>
      <w:pPr>
        <w:numPr>
          <w:ilvl w:val="0"/>
          <w:numId w:val="3"/>
        </w:numPr>
        <w:spacing w:line="400" w:lineRule="exact"/>
        <w:rPr>
          <w:rFonts w:ascii="宋体" w:hAnsi="宋体" w:eastAsia="宋体"/>
          <w:b/>
          <w:sz w:val="21"/>
          <w:szCs w:val="21"/>
        </w:rPr>
      </w:pPr>
      <w:r>
        <w:rPr>
          <w:rFonts w:hint="eastAsia" w:ascii="宋体" w:hAnsi="宋体" w:eastAsia="宋体"/>
          <w:b/>
          <w:sz w:val="21"/>
          <w:szCs w:val="21"/>
        </w:rPr>
        <w:t xml:space="preserve">开标和评标</w:t>
      </w:r>
      <w:bookmarkEnd w:id="28"/>
      <w:r/>
      <w:bookmarkEnd w:id="29"/>
      <w:r/>
      <w:r/>
    </w:p>
    <w:p>
      <w:pPr>
        <w:numPr>
          <w:ilvl w:val="0"/>
          <w:numId w:val="4"/>
        </w:numPr>
        <w:spacing w:line="400" w:lineRule="exact"/>
        <w:rPr>
          <w:rFonts w:ascii="宋体" w:hAnsi="宋体" w:eastAsia="宋体"/>
          <w:b/>
          <w:bCs/>
          <w:sz w:val="21"/>
          <w:szCs w:val="21"/>
        </w:rPr>
      </w:pPr>
      <w:r>
        <w:rPr>
          <w:rFonts w:hint="eastAsia" w:ascii="宋体" w:hAnsi="宋体" w:eastAsia="宋体"/>
          <w:b/>
          <w:bCs/>
          <w:sz w:val="21"/>
          <w:szCs w:val="21"/>
        </w:rPr>
        <w:t xml:space="preserve">开标</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1"/>
          <w:numId w:val="4"/>
        </w:numPr>
        <w:ind w:left="0" w:firstLine="420"/>
        <w:spacing w:line="400" w:lineRule="exact"/>
        <w:rPr>
          <w:rFonts w:ascii="宋体" w:hAnsi="宋体" w:eastAsia="宋体"/>
          <w:bCs/>
          <w:sz w:val="21"/>
          <w:szCs w:val="21"/>
        </w:rPr>
      </w:pPr>
      <w:r>
        <w:rPr>
          <w:rFonts w:hint="eastAsia" w:ascii="宋体" w:hAnsi="宋体" w:eastAsia="宋体"/>
          <w:bCs/>
          <w:sz w:val="21"/>
          <w:szCs w:val="21"/>
        </w:rPr>
        <w:t xml:space="preserve">资格审查</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23.3.1公开招标采购项目开标结束后，采购人应当依法对投标人的资格进行审查，未通过资格审查的视为无效投标。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23.3.2根据政府采购法及相关法规，以及苏州市财政局《关于印发苏州市市级政府采购信用记录查询</w:t>
      </w:r>
      <w:r>
        <w:rPr>
          <w:rFonts w:hint="eastAsia" w:ascii="宋体" w:hAnsi="宋体" w:eastAsia="宋体"/>
          <w:bCs/>
          <w:sz w:val="21"/>
          <w:szCs w:val="21"/>
        </w:rPr>
        <w:t xml:space="preserve">和使用工作试行办法的通知》（苏财购（2017）11号）文件的规定，采购代理机构将对供应商进行信用查询：</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23.3.2.1查询时间：投标文件递交截止时间。</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23.3.2.2查询渠道：采购代理机构会在接收投标文件截止时间后，登录信用中国网站（www.creditchina.gov.cn）和中国政府采购网（www.ccgp.gov.cn/）查询供应商的信用记录，并将查询结果递交评标委员会。</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23.3.3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numPr>
          <w:ilvl w:val="0"/>
          <w:numId w:val="4"/>
        </w:numPr>
        <w:spacing w:line="360" w:lineRule="auto"/>
        <w:rPr>
          <w:rFonts w:ascii="宋体" w:hAnsi="宋体" w:eastAsia="宋体"/>
          <w:b/>
          <w:bCs/>
          <w:sz w:val="21"/>
          <w:szCs w:val="21"/>
        </w:rPr>
      </w:pPr>
      <w:r>
        <w:rPr>
          <w:rFonts w:hint="eastAsia" w:ascii="宋体" w:hAnsi="宋体" w:eastAsia="宋体"/>
          <w:b/>
          <w:bCs/>
          <w:sz w:val="21"/>
          <w:szCs w:val="21"/>
        </w:rPr>
        <w:t xml:space="preserve">评标委员会</w:t>
      </w:r>
      <w:r/>
    </w:p>
    <w:p>
      <w:pPr>
        <w:numPr>
          <w:ilvl w:val="1"/>
          <w:numId w:val="4"/>
        </w:numPr>
        <w:ind w:left="0" w:firstLine="420"/>
        <w:spacing w:line="360" w:lineRule="auto"/>
        <w:rPr>
          <w:rFonts w:ascii="宋体" w:hAnsi="宋体" w:eastAsia="宋体"/>
          <w:bCs/>
          <w:sz w:val="21"/>
          <w:szCs w:val="21"/>
        </w:rPr>
      </w:pPr>
      <w:r>
        <w:rPr>
          <w:rFonts w:hint="eastAsia" w:ascii="宋体" w:hAnsi="宋体" w:eastAsia="宋体"/>
          <w:bCs/>
          <w:sz w:val="21"/>
          <w:szCs w:val="21"/>
        </w:rPr>
        <w:t xml:space="preserve">评标委员会负责具体评标事务，并独立履行下列职责：</w:t>
      </w:r>
      <w:r/>
    </w:p>
    <w:p>
      <w:pPr>
        <w:pStyle w:val="1113"/>
        <w:ind w:firstLine="420"/>
        <w:spacing w:line="360" w:lineRule="auto"/>
        <w:rPr>
          <w:rFonts w:eastAsia="宋体" w:cs="等线"/>
          <w:sz w:val="21"/>
          <w:szCs w:val="21"/>
        </w:rPr>
      </w:pPr>
      <w:r>
        <w:rPr>
          <w:rFonts w:hint="eastAsia" w:eastAsia="宋体" w:cs="等线"/>
          <w:sz w:val="21"/>
          <w:szCs w:val="21"/>
        </w:rPr>
        <w:t xml:space="preserve">24.1.1审查、评价投标文件是否符合招标文件的商务、技术等实质性要求；</w:t>
      </w:r>
      <w:r/>
    </w:p>
    <w:p>
      <w:pPr>
        <w:pStyle w:val="1113"/>
        <w:ind w:firstLine="420"/>
        <w:spacing w:line="360" w:lineRule="auto"/>
        <w:rPr>
          <w:rFonts w:eastAsia="宋体" w:cs="等线"/>
          <w:sz w:val="21"/>
          <w:szCs w:val="21"/>
        </w:rPr>
      </w:pPr>
      <w:r>
        <w:rPr>
          <w:rFonts w:hint="eastAsia" w:eastAsia="宋体" w:cs="等线"/>
          <w:sz w:val="21"/>
          <w:szCs w:val="21"/>
        </w:rPr>
        <w:t xml:space="preserve">24.1.2要求投标人对投标文件有关事项作出澄清或者说明；</w:t>
      </w:r>
      <w:r/>
    </w:p>
    <w:p>
      <w:pPr>
        <w:pStyle w:val="1113"/>
        <w:ind w:firstLine="420"/>
        <w:spacing w:line="360" w:lineRule="auto"/>
        <w:rPr>
          <w:rFonts w:eastAsia="宋体" w:cs="等线"/>
          <w:sz w:val="21"/>
          <w:szCs w:val="21"/>
        </w:rPr>
      </w:pPr>
      <w:r>
        <w:rPr>
          <w:rFonts w:hint="eastAsia" w:eastAsia="宋体" w:cs="等线"/>
          <w:sz w:val="21"/>
          <w:szCs w:val="21"/>
        </w:rPr>
        <w:t xml:space="preserve">24.1.3对投标文件进行比较和评价；</w:t>
      </w:r>
      <w:r/>
    </w:p>
    <w:p>
      <w:pPr>
        <w:pStyle w:val="1113"/>
        <w:ind w:firstLine="420"/>
        <w:spacing w:line="360" w:lineRule="auto"/>
        <w:rPr>
          <w:rFonts w:eastAsia="宋体" w:cs="等线"/>
          <w:sz w:val="21"/>
          <w:szCs w:val="21"/>
        </w:rPr>
      </w:pPr>
      <w:r>
        <w:rPr>
          <w:rFonts w:hint="eastAsia" w:eastAsia="宋体" w:cs="等线"/>
          <w:sz w:val="21"/>
          <w:szCs w:val="21"/>
        </w:rPr>
        <w:t xml:space="preserve">24.1.4确定中标候选人名单，以及根据采购人委托直接确定中标人；</w:t>
      </w:r>
      <w:r/>
    </w:p>
    <w:p>
      <w:pPr>
        <w:pStyle w:val="1113"/>
        <w:ind w:firstLine="420"/>
        <w:spacing w:line="360" w:lineRule="auto"/>
        <w:rPr>
          <w:rFonts w:eastAsia="宋体" w:cs="等线"/>
          <w:sz w:val="21"/>
          <w:szCs w:val="21"/>
        </w:rPr>
      </w:pPr>
      <w:r>
        <w:rPr>
          <w:rFonts w:hint="eastAsia" w:eastAsia="宋体" w:cs="等线"/>
          <w:sz w:val="21"/>
          <w:szCs w:val="21"/>
        </w:rPr>
        <w:t xml:space="preserve">24.1.5向采购人、采购代理机构或者有关部门报告评标中发现的违法行为。</w:t>
      </w:r>
      <w:r/>
    </w:p>
    <w:p>
      <w:pPr>
        <w:numPr>
          <w:ilvl w:val="1"/>
          <w:numId w:val="4"/>
        </w:numPr>
        <w:ind w:left="0" w:firstLine="420"/>
        <w:spacing w:line="360" w:lineRule="auto"/>
        <w:rPr>
          <w:rFonts w:ascii="宋体" w:hAnsi="宋体" w:eastAsia="宋体"/>
          <w:bCs/>
          <w:sz w:val="21"/>
          <w:szCs w:val="21"/>
        </w:rPr>
      </w:pPr>
      <w:r>
        <w:rPr>
          <w:rFonts w:hint="eastAsia" w:ascii="宋体" w:hAnsi="宋体" w:eastAsia="宋体"/>
          <w:bCs/>
          <w:sz w:val="21"/>
          <w:szCs w:val="21"/>
        </w:rPr>
        <w:t xml:space="preserve">评标委员会成员应当履行下列义务：</w:t>
      </w:r>
      <w:r/>
    </w:p>
    <w:p>
      <w:pPr>
        <w:pStyle w:val="1113"/>
        <w:ind w:firstLine="420"/>
        <w:spacing w:line="360" w:lineRule="auto"/>
        <w:rPr>
          <w:rFonts w:eastAsia="宋体" w:cs="等线"/>
          <w:sz w:val="21"/>
          <w:szCs w:val="21"/>
        </w:rPr>
      </w:pPr>
      <w:r>
        <w:rPr>
          <w:rFonts w:hint="eastAsia" w:eastAsia="宋体" w:cs="等线"/>
          <w:sz w:val="21"/>
          <w:szCs w:val="21"/>
        </w:rPr>
        <w:t xml:space="preserve">24.2.1遵纪守法，客观、公正、廉洁地履行职责；</w:t>
      </w:r>
      <w:r/>
    </w:p>
    <w:p>
      <w:pPr>
        <w:pStyle w:val="1113"/>
        <w:ind w:firstLine="420"/>
        <w:spacing w:line="360" w:lineRule="auto"/>
        <w:rPr>
          <w:rFonts w:eastAsia="宋体" w:cs="等线"/>
          <w:sz w:val="21"/>
          <w:szCs w:val="21"/>
        </w:rPr>
      </w:pPr>
      <w:r>
        <w:rPr>
          <w:rFonts w:hint="eastAsia" w:eastAsia="宋体" w:cs="等线"/>
          <w:sz w:val="21"/>
          <w:szCs w:val="21"/>
        </w:rPr>
        <w:t xml:space="preserve">24.2.2按照招标文件规定的评标办法和评标标准进行评标，对评审意见承担个人责任；</w:t>
      </w:r>
      <w:r/>
    </w:p>
    <w:p>
      <w:pPr>
        <w:pStyle w:val="1113"/>
        <w:ind w:firstLine="420"/>
        <w:spacing w:line="360" w:lineRule="auto"/>
        <w:rPr>
          <w:rFonts w:eastAsia="宋体" w:cs="等线"/>
          <w:sz w:val="21"/>
          <w:szCs w:val="21"/>
        </w:rPr>
      </w:pPr>
      <w:r>
        <w:rPr>
          <w:rFonts w:hint="eastAsia" w:eastAsia="宋体" w:cs="等线"/>
          <w:sz w:val="21"/>
          <w:szCs w:val="21"/>
        </w:rPr>
        <w:t xml:space="preserve">24.2.3对评标过程和结果，以及投标人的商业秘密保密；</w:t>
      </w:r>
      <w:r/>
    </w:p>
    <w:p>
      <w:pPr>
        <w:pStyle w:val="1113"/>
        <w:ind w:firstLine="420"/>
        <w:spacing w:line="360" w:lineRule="auto"/>
        <w:rPr>
          <w:rFonts w:eastAsia="宋体" w:cs="等线"/>
          <w:sz w:val="21"/>
          <w:szCs w:val="21"/>
        </w:rPr>
      </w:pPr>
      <w:r>
        <w:rPr>
          <w:rFonts w:hint="eastAsia" w:eastAsia="宋体" w:cs="等线"/>
          <w:sz w:val="21"/>
          <w:szCs w:val="21"/>
        </w:rPr>
        <w:t xml:space="preserve">24.2.4评标委员会根据全体评标成员签字的原始评标记录和评标结果编写评标报告。评标报告应当包括以下内容： </w:t>
      </w:r>
      <w:r/>
    </w:p>
    <w:p>
      <w:pPr>
        <w:pStyle w:val="1113"/>
        <w:ind w:firstLine="420"/>
        <w:spacing w:line="360" w:lineRule="auto"/>
        <w:rPr>
          <w:rFonts w:eastAsia="宋体" w:cs="等线"/>
          <w:sz w:val="21"/>
          <w:szCs w:val="21"/>
        </w:rPr>
      </w:pPr>
      <w:r>
        <w:rPr>
          <w:rFonts w:hint="eastAsia" w:eastAsia="宋体" w:cs="等线"/>
          <w:sz w:val="21"/>
          <w:szCs w:val="21"/>
        </w:rPr>
        <w:t xml:space="preserve">（一）招标公告刊登的媒体名称、开标日期和地点；</w:t>
      </w:r>
      <w:r/>
    </w:p>
    <w:p>
      <w:pPr>
        <w:pStyle w:val="1113"/>
        <w:ind w:firstLine="420"/>
        <w:spacing w:line="360" w:lineRule="auto"/>
        <w:rPr>
          <w:rFonts w:eastAsia="宋体" w:cs="等线"/>
          <w:sz w:val="21"/>
          <w:szCs w:val="21"/>
        </w:rPr>
      </w:pPr>
      <w:r>
        <w:rPr>
          <w:rFonts w:hint="eastAsia" w:eastAsia="宋体" w:cs="等线"/>
          <w:sz w:val="21"/>
          <w:szCs w:val="21"/>
        </w:rPr>
        <w:t xml:space="preserve">（二）投标人名单和评标委员会成员名单；</w:t>
      </w:r>
      <w:r/>
    </w:p>
    <w:p>
      <w:pPr>
        <w:pStyle w:val="1113"/>
        <w:ind w:firstLine="420"/>
        <w:spacing w:line="360" w:lineRule="auto"/>
        <w:rPr>
          <w:rFonts w:eastAsia="宋体" w:cs="等线"/>
          <w:sz w:val="21"/>
          <w:szCs w:val="21"/>
        </w:rPr>
      </w:pPr>
      <w:r>
        <w:rPr>
          <w:rFonts w:hint="eastAsia" w:eastAsia="宋体" w:cs="等线"/>
          <w:sz w:val="21"/>
          <w:szCs w:val="21"/>
        </w:rPr>
        <w:t xml:space="preserve">（三）评标方法和标准；</w:t>
      </w:r>
      <w:r/>
    </w:p>
    <w:p>
      <w:pPr>
        <w:pStyle w:val="1113"/>
        <w:ind w:firstLine="420"/>
        <w:spacing w:line="360" w:lineRule="auto"/>
        <w:rPr>
          <w:rFonts w:eastAsia="宋体" w:cs="等线"/>
          <w:sz w:val="21"/>
          <w:szCs w:val="21"/>
        </w:rPr>
      </w:pPr>
      <w:r>
        <w:rPr>
          <w:rFonts w:hint="eastAsia" w:eastAsia="宋体" w:cs="等线"/>
          <w:sz w:val="21"/>
          <w:szCs w:val="21"/>
        </w:rPr>
        <w:t xml:space="preserve">（四）开标记录和评标情况及说明，包括无效投标人名单及原因；</w:t>
      </w:r>
      <w:r/>
    </w:p>
    <w:p>
      <w:pPr>
        <w:pStyle w:val="1113"/>
        <w:ind w:firstLine="420"/>
        <w:spacing w:line="360" w:lineRule="auto"/>
        <w:rPr>
          <w:rFonts w:eastAsia="宋体" w:cs="等线"/>
          <w:sz w:val="21"/>
          <w:szCs w:val="21"/>
        </w:rPr>
      </w:pPr>
      <w:r>
        <w:rPr>
          <w:rFonts w:hint="eastAsia" w:eastAsia="宋体" w:cs="等线"/>
          <w:sz w:val="21"/>
          <w:szCs w:val="21"/>
        </w:rPr>
        <w:t xml:space="preserve">（五）评标结果，确定的中标候选人名单或者经采购人委托直接确定的中标人；</w:t>
      </w:r>
      <w:r/>
    </w:p>
    <w:p>
      <w:pPr>
        <w:pStyle w:val="1113"/>
        <w:ind w:firstLine="420"/>
        <w:spacing w:line="360" w:lineRule="auto"/>
        <w:rPr>
          <w:rFonts w:eastAsia="宋体" w:cs="等线"/>
          <w:sz w:val="21"/>
          <w:szCs w:val="21"/>
        </w:rPr>
      </w:pPr>
      <w:r>
        <w:rPr>
          <w:rFonts w:hint="eastAsia" w:eastAsia="宋体" w:cs="等线"/>
          <w:sz w:val="21"/>
          <w:szCs w:val="21"/>
        </w:rPr>
        <w:t xml:space="preserve">（六）其他需要说明的情况，包括评标过程中投标人根据评标委员会要求进行的澄清、说明或者补正，评标委员会成员的更换等。</w:t>
      </w:r>
      <w:r/>
    </w:p>
    <w:p>
      <w:pPr>
        <w:pStyle w:val="1113"/>
        <w:ind w:firstLine="420"/>
        <w:spacing w:line="360" w:lineRule="auto"/>
        <w:rPr>
          <w:rFonts w:eastAsia="宋体" w:cs="等线"/>
          <w:sz w:val="21"/>
          <w:szCs w:val="21"/>
        </w:rPr>
      </w:pPr>
      <w:r>
        <w:rPr>
          <w:rFonts w:hint="eastAsia" w:eastAsia="宋体" w:cs="等线"/>
          <w:sz w:val="21"/>
          <w:szCs w:val="21"/>
        </w:rPr>
        <w:t xml:space="preserve">24.2.5配合相关部门的投诉处理工作；</w:t>
      </w:r>
      <w:r/>
    </w:p>
    <w:p>
      <w:pPr>
        <w:pStyle w:val="1113"/>
        <w:ind w:firstLine="420"/>
        <w:spacing w:line="360" w:lineRule="auto"/>
        <w:rPr>
          <w:rFonts w:eastAsia="宋体" w:cs="等线"/>
          <w:sz w:val="21"/>
          <w:szCs w:val="21"/>
        </w:rPr>
      </w:pPr>
      <w:r>
        <w:rPr>
          <w:rFonts w:hint="eastAsia" w:eastAsia="宋体" w:cs="等线"/>
          <w:sz w:val="21"/>
          <w:szCs w:val="21"/>
        </w:rPr>
        <w:t xml:space="preserve">24.2.6配合采购人和采购代理机构答复投标人提出的质疑。</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评标内容的保密</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公开开标后，直到宣布授予中标合同为止，凡属于审查、澄清、评价和比较投标的所有资料，有关授予合同的信息都不应向投标人或与评标无关的其他人泄露。</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在投标文件的审查、澄清、评价和比较以及授予合同的过程中，投标人对采购人、采购代理机构和评标委员会成员施加影响的任何行为，都将取消其中标资格。</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对投标文件初审</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评标委员会应当对符合资格的投标人的投标文件进行符合性审查，以确定其是否满足招标文件的实质性要求。</w:t>
      </w:r>
      <w:r/>
    </w:p>
    <w:p>
      <w:pPr>
        <w:pStyle w:val="1113"/>
        <w:ind w:firstLine="420"/>
        <w:spacing w:line="360" w:lineRule="auto"/>
        <w:rPr>
          <w:rFonts w:eastAsia="宋体" w:cs="等线"/>
          <w:sz w:val="21"/>
          <w:szCs w:val="21"/>
        </w:rPr>
      </w:pPr>
      <w:r>
        <w:rPr>
          <w:rFonts w:hint="eastAsia" w:eastAsia="宋体" w:cs="等线"/>
          <w:sz w:val="21"/>
          <w:szCs w:val="21"/>
        </w:rPr>
        <w:t xml:space="preserve">投标文件有下列情况之一者评标委员会有权将其拒绝：</w:t>
      </w:r>
      <w:r/>
    </w:p>
    <w:p>
      <w:pPr>
        <w:pStyle w:val="1113"/>
        <w:ind w:firstLine="420"/>
        <w:spacing w:line="360" w:lineRule="auto"/>
        <w:rPr>
          <w:rFonts w:eastAsia="宋体" w:cs="等线"/>
          <w:sz w:val="21"/>
          <w:szCs w:val="21"/>
        </w:rPr>
      </w:pPr>
      <w:r>
        <w:rPr>
          <w:rFonts w:hint="eastAsia" w:eastAsia="宋体" w:cs="等线"/>
          <w:sz w:val="21"/>
          <w:szCs w:val="21"/>
        </w:rPr>
        <w:t xml:space="preserve">26.1.1投标人的投标文件未按照本须知规定制作的；</w:t>
      </w:r>
      <w:r/>
    </w:p>
    <w:p>
      <w:pPr>
        <w:pStyle w:val="1113"/>
        <w:ind w:firstLine="420"/>
        <w:spacing w:line="360" w:lineRule="auto"/>
        <w:rPr>
          <w:rFonts w:eastAsia="宋体" w:cs="等线"/>
          <w:sz w:val="21"/>
          <w:szCs w:val="21"/>
        </w:rPr>
      </w:pPr>
      <w:r>
        <w:rPr>
          <w:rFonts w:hint="eastAsia" w:eastAsia="宋体" w:cs="等线"/>
          <w:sz w:val="21"/>
          <w:szCs w:val="21"/>
        </w:rPr>
        <w:t xml:space="preserve">26.1.2未按本须知规定提交资格文件；</w:t>
      </w:r>
      <w:r/>
    </w:p>
    <w:p>
      <w:pPr>
        <w:pStyle w:val="1113"/>
        <w:ind w:firstLine="420"/>
        <w:spacing w:line="360" w:lineRule="auto"/>
        <w:rPr>
          <w:rFonts w:eastAsia="宋体" w:cs="等线"/>
          <w:sz w:val="21"/>
          <w:szCs w:val="21"/>
        </w:rPr>
      </w:pPr>
      <w:r>
        <w:rPr>
          <w:rFonts w:hint="eastAsia" w:eastAsia="宋体" w:cs="等线"/>
          <w:sz w:val="21"/>
          <w:szCs w:val="21"/>
        </w:rPr>
        <w:t xml:space="preserve">26.1.3与招标文件有重大偏离；</w:t>
      </w:r>
      <w:r/>
    </w:p>
    <w:p>
      <w:pPr>
        <w:pStyle w:val="1113"/>
        <w:ind w:firstLine="420"/>
        <w:spacing w:line="360" w:lineRule="auto"/>
        <w:rPr>
          <w:rFonts w:eastAsia="宋体" w:cs="等线"/>
          <w:sz w:val="21"/>
          <w:szCs w:val="21"/>
        </w:rPr>
      </w:pPr>
      <w:r>
        <w:rPr>
          <w:rFonts w:hint="eastAsia" w:eastAsia="宋体" w:cs="等线"/>
          <w:sz w:val="21"/>
          <w:szCs w:val="21"/>
        </w:rPr>
        <w:t xml:space="preserve">26.1.4投标人拒绝修正错误；</w:t>
      </w:r>
      <w:r/>
    </w:p>
    <w:p>
      <w:pPr>
        <w:pStyle w:val="1113"/>
        <w:ind w:firstLine="420"/>
        <w:spacing w:line="360" w:lineRule="auto"/>
        <w:rPr>
          <w:rFonts w:eastAsia="宋体" w:cs="等线"/>
          <w:sz w:val="21"/>
          <w:szCs w:val="21"/>
        </w:rPr>
      </w:pPr>
      <w:r>
        <w:rPr>
          <w:rFonts w:hint="eastAsia" w:eastAsia="宋体" w:cs="等线"/>
          <w:sz w:val="21"/>
          <w:szCs w:val="21"/>
        </w:rPr>
        <w:t xml:space="preserve">26.1.5投标人的报价是选择性的；</w:t>
      </w:r>
      <w:r/>
    </w:p>
    <w:p>
      <w:pPr>
        <w:pStyle w:val="1113"/>
        <w:ind w:firstLine="420"/>
        <w:spacing w:line="360" w:lineRule="auto"/>
        <w:rPr>
          <w:rFonts w:eastAsia="宋体" w:cs="等线"/>
          <w:sz w:val="21"/>
          <w:szCs w:val="21"/>
        </w:rPr>
      </w:pPr>
      <w:r>
        <w:rPr>
          <w:rFonts w:hint="eastAsia" w:eastAsia="宋体" w:cs="等线"/>
          <w:sz w:val="21"/>
          <w:szCs w:val="21"/>
        </w:rPr>
        <w:t xml:space="preserve">26.1.6投标人的报价只投了部分内容；</w:t>
      </w:r>
      <w:r/>
    </w:p>
    <w:p>
      <w:pPr>
        <w:pStyle w:val="1113"/>
        <w:ind w:firstLine="420"/>
        <w:spacing w:line="360" w:lineRule="auto"/>
        <w:rPr>
          <w:rFonts w:eastAsia="宋体" w:cs="等线"/>
          <w:sz w:val="21"/>
          <w:szCs w:val="21"/>
        </w:rPr>
      </w:pPr>
      <w:r>
        <w:rPr>
          <w:rFonts w:hint="eastAsia" w:eastAsia="宋体" w:cs="等线"/>
          <w:sz w:val="21"/>
          <w:szCs w:val="21"/>
        </w:rPr>
        <w:t xml:space="preserve">26.1.7投标人的投标文件出现了评标委员会认为不应当雷同的情况；</w:t>
      </w:r>
      <w:r/>
    </w:p>
    <w:p>
      <w:pPr>
        <w:pStyle w:val="1113"/>
        <w:ind w:firstLine="420"/>
        <w:spacing w:line="360" w:lineRule="auto"/>
        <w:rPr>
          <w:rFonts w:eastAsia="宋体" w:cs="等线"/>
          <w:sz w:val="21"/>
          <w:szCs w:val="21"/>
        </w:rPr>
      </w:pPr>
      <w:r>
        <w:rPr>
          <w:rFonts w:hint="eastAsia" w:eastAsia="宋体" w:cs="等线"/>
          <w:sz w:val="21"/>
          <w:szCs w:val="21"/>
        </w:rPr>
        <w:t xml:space="preserve">26.1.8其他被评委会认定无效的情况。</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投标文件报价出现前后不一致的，除招标文件另有规定外，按照下列规定修正：</w:t>
      </w:r>
      <w:r/>
    </w:p>
    <w:p>
      <w:pPr>
        <w:pStyle w:val="1113"/>
        <w:ind w:firstLine="420"/>
        <w:spacing w:line="360" w:lineRule="auto"/>
        <w:rPr>
          <w:rFonts w:eastAsia="宋体" w:cs="等线"/>
          <w:sz w:val="21"/>
          <w:szCs w:val="21"/>
        </w:rPr>
      </w:pPr>
      <w:r>
        <w:rPr>
          <w:rFonts w:hint="eastAsia" w:eastAsia="宋体" w:cs="等线"/>
          <w:sz w:val="21"/>
          <w:szCs w:val="21"/>
        </w:rPr>
        <w:t xml:space="preserve">（一）投标文件中开标一览表（报价表）内容与投标文件中相应内容不一致的，以开标一览表（报价表）为准；</w:t>
      </w:r>
      <w:r/>
    </w:p>
    <w:p>
      <w:pPr>
        <w:pStyle w:val="1113"/>
        <w:ind w:firstLine="420"/>
        <w:spacing w:line="360" w:lineRule="auto"/>
        <w:rPr>
          <w:rFonts w:eastAsia="宋体" w:cs="等线"/>
          <w:sz w:val="21"/>
          <w:szCs w:val="21"/>
        </w:rPr>
      </w:pPr>
      <w:r>
        <w:rPr>
          <w:rFonts w:hint="eastAsia" w:eastAsia="宋体" w:cs="等线"/>
          <w:sz w:val="21"/>
          <w:szCs w:val="21"/>
        </w:rPr>
        <w:t xml:space="preserve">（二）大写金额和小写金额不一致的，以大写金额为准；</w:t>
      </w:r>
      <w:r/>
    </w:p>
    <w:p>
      <w:pPr>
        <w:pStyle w:val="1113"/>
        <w:ind w:firstLine="420"/>
        <w:spacing w:line="360" w:lineRule="auto"/>
        <w:rPr>
          <w:rFonts w:eastAsia="宋体" w:cs="等线"/>
          <w:sz w:val="21"/>
          <w:szCs w:val="21"/>
        </w:rPr>
      </w:pPr>
      <w:r>
        <w:rPr>
          <w:rFonts w:hint="eastAsia" w:eastAsia="宋体" w:cs="等线"/>
          <w:sz w:val="21"/>
          <w:szCs w:val="21"/>
        </w:rPr>
        <w:t xml:space="preserve">（三）单价金额小数点或者百分比有明显错位的，以开标一览表的总价为准，并修改单价；</w:t>
      </w:r>
      <w:r/>
    </w:p>
    <w:p>
      <w:pPr>
        <w:pStyle w:val="1113"/>
        <w:ind w:firstLine="420"/>
        <w:spacing w:line="360" w:lineRule="auto"/>
        <w:rPr>
          <w:rFonts w:eastAsia="宋体" w:cs="等线"/>
          <w:sz w:val="21"/>
          <w:szCs w:val="21"/>
        </w:rPr>
      </w:pPr>
      <w:r>
        <w:rPr>
          <w:rFonts w:hint="eastAsia" w:eastAsia="宋体" w:cs="等线"/>
          <w:sz w:val="21"/>
          <w:szCs w:val="21"/>
        </w:rPr>
        <w:t xml:space="preserve">（四）总价金额与按单价汇总金额不一致的，以单价金额计算结果为准。</w:t>
      </w:r>
      <w:r/>
    </w:p>
    <w:p>
      <w:pPr>
        <w:pStyle w:val="1113"/>
        <w:ind w:firstLine="420"/>
        <w:spacing w:line="360" w:lineRule="auto"/>
        <w:rPr>
          <w:rFonts w:eastAsia="宋体" w:cs="等线"/>
          <w:sz w:val="21"/>
          <w:szCs w:val="21"/>
        </w:rPr>
      </w:pPr>
      <w:r>
        <w:rPr>
          <w:rFonts w:hint="eastAsia" w:eastAsia="宋体" w:cs="等线"/>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投标的澄清</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投标人的澄清、说明或者补正应当采用书面形式，并加盖其单位电子公章。投标人的澄清、说明或者补正不得超出投标文件的范围或者改变投标文件的实质性内容。</w:t>
      </w:r>
      <w:r/>
    </w:p>
    <w:p>
      <w:pPr>
        <w:pStyle w:val="1113"/>
        <w:ind w:firstLine="422"/>
        <w:spacing w:line="360" w:lineRule="auto"/>
        <w:rPr>
          <w:rFonts w:eastAsia="宋体" w:cs="等线"/>
          <w:sz w:val="21"/>
          <w:szCs w:val="21"/>
        </w:rPr>
      </w:pPr>
      <w:r>
        <w:rPr>
          <w:rFonts w:hint="eastAsia" w:eastAsia="宋体" w:cs="等线"/>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eastAsia="宋体" w:cs="等线"/>
          <w:sz w:val="21"/>
          <w:szCs w:val="21"/>
        </w:rPr>
        <w:t xml:space="preserve">(</w:t>
      </w:r>
      <w:r>
        <w:rPr>
          <w:rFonts w:hint="eastAsia" w:eastAsia="宋体" w:cs="等线"/>
          <w:b/>
          <w:sz w:val="21"/>
          <w:szCs w:val="21"/>
        </w:rPr>
        <w:t xml:space="preserve">此处规定时间的计算以系统中的倒计时间为准，</w:t>
      </w:r>
      <w:r>
        <w:rPr>
          <w:rFonts w:hint="eastAsia" w:eastAsia="宋体" w:cs="等线"/>
          <w:sz w:val="21"/>
          <w:szCs w:val="21"/>
        </w:rPr>
        <w:t xml:space="preserve">供应商应随时保持系统在线，如因供应商自身原因未在规定时间内提交澄清确认资料的，导致的不利后果由供应商自行承担。)</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投标无效</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投标人存在下列情况之一的，投标无效:</w:t>
      </w:r>
      <w:r/>
    </w:p>
    <w:p>
      <w:pPr>
        <w:pStyle w:val="1113"/>
        <w:ind w:firstLine="420"/>
        <w:spacing w:line="360" w:lineRule="auto"/>
        <w:rPr>
          <w:rFonts w:eastAsia="宋体" w:cs="等线"/>
          <w:sz w:val="21"/>
          <w:szCs w:val="21"/>
        </w:rPr>
      </w:pPr>
      <w:r>
        <w:rPr>
          <w:rFonts w:hint="eastAsia" w:eastAsia="宋体" w:cs="等线"/>
          <w:sz w:val="21"/>
          <w:szCs w:val="21"/>
        </w:rPr>
        <w:t xml:space="preserve">（</w:t>
      </w:r>
      <w:r>
        <w:rPr>
          <w:rFonts w:hint="eastAsia" w:eastAsia="宋体" w:cs="等线"/>
          <w:sz w:val="21"/>
          <w:szCs w:val="21"/>
          <w:lang w:val="en-US"/>
        </w:rPr>
        <w:t xml:space="preserve">一</w:t>
      </w:r>
      <w:r>
        <w:rPr>
          <w:rFonts w:hint="eastAsia" w:eastAsia="宋体" w:cs="等线"/>
          <w:sz w:val="21"/>
          <w:szCs w:val="21"/>
        </w:rPr>
        <w:t xml:space="preserve">）投标文件未按招标文件要求签署、盖章的；</w:t>
      </w:r>
      <w:r/>
    </w:p>
    <w:p>
      <w:pPr>
        <w:pStyle w:val="1113"/>
        <w:ind w:firstLine="420"/>
        <w:spacing w:line="360" w:lineRule="auto"/>
        <w:rPr>
          <w:rFonts w:eastAsia="宋体" w:cs="等线"/>
          <w:sz w:val="21"/>
          <w:szCs w:val="21"/>
        </w:rPr>
      </w:pPr>
      <w:r>
        <w:rPr>
          <w:rFonts w:hint="eastAsia" w:eastAsia="宋体" w:cs="等线"/>
          <w:sz w:val="21"/>
          <w:szCs w:val="21"/>
        </w:rPr>
        <w:t xml:space="preserve">（</w:t>
      </w:r>
      <w:r>
        <w:rPr>
          <w:rFonts w:hint="eastAsia" w:eastAsia="宋体" w:cs="等线"/>
          <w:sz w:val="21"/>
          <w:szCs w:val="21"/>
          <w:lang w:val="en-US"/>
        </w:rPr>
        <w:t xml:space="preserve">二</w:t>
      </w:r>
      <w:r>
        <w:rPr>
          <w:rFonts w:hint="eastAsia" w:eastAsia="宋体" w:cs="等线"/>
          <w:sz w:val="21"/>
          <w:szCs w:val="21"/>
        </w:rPr>
        <w:t xml:space="preserve">）不具备招标文件中规定的资格要求的；</w:t>
      </w:r>
      <w:r/>
    </w:p>
    <w:p>
      <w:pPr>
        <w:pStyle w:val="1113"/>
        <w:ind w:firstLine="420"/>
        <w:spacing w:line="360" w:lineRule="auto"/>
        <w:rPr>
          <w:rFonts w:eastAsia="宋体" w:cs="等线"/>
          <w:sz w:val="21"/>
          <w:szCs w:val="21"/>
        </w:rPr>
      </w:pPr>
      <w:r>
        <w:rPr>
          <w:rFonts w:hint="eastAsia" w:eastAsia="宋体" w:cs="等线"/>
          <w:sz w:val="21"/>
          <w:szCs w:val="21"/>
        </w:rPr>
        <w:t xml:space="preserve">（</w:t>
      </w:r>
      <w:r>
        <w:rPr>
          <w:rFonts w:hint="eastAsia" w:eastAsia="宋体" w:cs="等线"/>
          <w:sz w:val="21"/>
          <w:szCs w:val="21"/>
          <w:lang w:val="en-US"/>
        </w:rPr>
        <w:t xml:space="preserve">三</w:t>
      </w:r>
      <w:r>
        <w:rPr>
          <w:rFonts w:hint="eastAsia" w:eastAsia="宋体" w:cs="等线"/>
          <w:sz w:val="21"/>
          <w:szCs w:val="21"/>
        </w:rPr>
        <w:t xml:space="preserve">）报价超过招标文件中规定的预算金额或者最高限价的；</w:t>
      </w:r>
      <w:r/>
    </w:p>
    <w:p>
      <w:pPr>
        <w:pStyle w:val="1113"/>
        <w:ind w:firstLine="420"/>
        <w:spacing w:line="360" w:lineRule="auto"/>
        <w:rPr>
          <w:rFonts w:eastAsia="宋体" w:cs="等线"/>
          <w:sz w:val="21"/>
          <w:szCs w:val="21"/>
        </w:rPr>
      </w:pPr>
      <w:r>
        <w:rPr>
          <w:rFonts w:hint="eastAsia" w:eastAsia="宋体" w:cs="等线"/>
          <w:sz w:val="21"/>
          <w:szCs w:val="21"/>
        </w:rPr>
        <w:t xml:space="preserve">（</w:t>
      </w:r>
      <w:r>
        <w:rPr>
          <w:rFonts w:hint="eastAsia" w:eastAsia="宋体" w:cs="等线"/>
          <w:sz w:val="21"/>
          <w:szCs w:val="21"/>
          <w:lang w:val="en-US"/>
        </w:rPr>
        <w:t xml:space="preserve">四</w:t>
      </w:r>
      <w:r>
        <w:rPr>
          <w:rFonts w:hint="eastAsia" w:eastAsia="宋体" w:cs="等线"/>
          <w:sz w:val="21"/>
          <w:szCs w:val="21"/>
        </w:rPr>
        <w:t xml:space="preserve">）投标文件含有采购人不能接受的附加条件的；</w:t>
      </w:r>
      <w:r/>
    </w:p>
    <w:p>
      <w:pPr>
        <w:pStyle w:val="1113"/>
        <w:ind w:firstLine="420"/>
        <w:spacing w:line="360" w:lineRule="auto"/>
        <w:rPr>
          <w:rFonts w:eastAsia="宋体" w:cs="等线"/>
          <w:sz w:val="21"/>
          <w:szCs w:val="21"/>
        </w:rPr>
      </w:pPr>
      <w:r>
        <w:rPr>
          <w:rFonts w:hint="eastAsia" w:eastAsia="宋体" w:cs="等线"/>
          <w:sz w:val="21"/>
          <w:szCs w:val="21"/>
        </w:rPr>
        <w:t xml:space="preserve">（五）法律、法规和招标文件规定的其他无效情形。</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投标人应当遵循公平竞争的原则，不得恶意串通，不得妨碍其他投标人的竞争行为，不得损害采购人或者其他投标人的合法权益。</w:t>
      </w:r>
      <w:r/>
    </w:p>
    <w:p>
      <w:pPr>
        <w:ind w:left="420"/>
        <w:spacing w:line="276" w:lineRule="auto"/>
        <w:rPr>
          <w:rFonts w:ascii="宋体" w:hAnsi="宋体" w:eastAsia="宋体"/>
          <w:bCs/>
          <w:sz w:val="21"/>
          <w:szCs w:val="21"/>
        </w:rPr>
      </w:pPr>
      <w:r>
        <w:rPr>
          <w:rFonts w:hint="eastAsia" w:ascii="宋体" w:hAnsi="宋体" w:eastAsia="宋体"/>
          <w:bCs/>
          <w:sz w:val="21"/>
          <w:szCs w:val="21"/>
        </w:rPr>
        <w:t xml:space="preserve">在评标过程中发现投标人有上述情形的，评标委员会应当认定其投标无效，并书面报告本级财政部门。</w:t>
      </w:r>
      <w:r/>
    </w:p>
    <w:p>
      <w:pPr>
        <w:numPr>
          <w:ilvl w:val="1"/>
          <w:numId w:val="4"/>
        </w:numPr>
        <w:ind w:left="0" w:firstLine="420"/>
        <w:spacing w:line="360" w:lineRule="auto"/>
        <w:rPr>
          <w:rFonts w:ascii="宋体" w:hAnsi="宋体" w:eastAsia="宋体"/>
          <w:bCs/>
          <w:sz w:val="21"/>
          <w:szCs w:val="21"/>
        </w:rPr>
      </w:pPr>
      <w:r>
        <w:rPr>
          <w:rFonts w:hint="eastAsia" w:ascii="宋体" w:hAnsi="宋体" w:eastAsia="宋体"/>
          <w:bCs/>
          <w:sz w:val="21"/>
          <w:szCs w:val="21"/>
        </w:rPr>
        <w:t xml:space="preserve">有下列情形之一的，视为投标人串通投标，其投标无效：</w:t>
      </w:r>
      <w:r/>
    </w:p>
    <w:p>
      <w:pPr>
        <w:pStyle w:val="1113"/>
        <w:ind w:firstLine="420"/>
        <w:spacing w:line="360" w:lineRule="auto"/>
        <w:rPr>
          <w:rFonts w:eastAsia="宋体" w:cs="等线"/>
          <w:sz w:val="21"/>
          <w:szCs w:val="21"/>
        </w:rPr>
      </w:pPr>
      <w:r>
        <w:rPr>
          <w:rFonts w:hint="eastAsia" w:eastAsia="宋体" w:cs="等线"/>
          <w:sz w:val="21"/>
          <w:szCs w:val="21"/>
        </w:rPr>
        <w:t xml:space="preserve">（一）不同投标人的投标文件由同一单位或者个人编制；</w:t>
      </w:r>
      <w:r/>
    </w:p>
    <w:p>
      <w:pPr>
        <w:pStyle w:val="1113"/>
        <w:ind w:firstLine="420"/>
        <w:spacing w:line="360" w:lineRule="auto"/>
        <w:rPr>
          <w:rFonts w:eastAsia="宋体" w:cs="等线"/>
          <w:sz w:val="21"/>
          <w:szCs w:val="21"/>
        </w:rPr>
      </w:pPr>
      <w:r>
        <w:rPr>
          <w:rFonts w:hint="eastAsia" w:eastAsia="宋体" w:cs="等线"/>
          <w:sz w:val="21"/>
          <w:szCs w:val="21"/>
        </w:rPr>
        <w:t xml:space="preserve">（二）不同投标人委托同一单位或者个人办理投标事宜；</w:t>
      </w:r>
      <w:r/>
    </w:p>
    <w:p>
      <w:pPr>
        <w:pStyle w:val="1113"/>
        <w:ind w:firstLine="420"/>
        <w:spacing w:line="360" w:lineRule="auto"/>
        <w:rPr>
          <w:rFonts w:eastAsia="宋体" w:cs="等线"/>
          <w:sz w:val="21"/>
          <w:szCs w:val="21"/>
        </w:rPr>
      </w:pPr>
      <w:r>
        <w:rPr>
          <w:rFonts w:hint="eastAsia" w:eastAsia="宋体" w:cs="等线"/>
          <w:sz w:val="21"/>
          <w:szCs w:val="21"/>
        </w:rPr>
        <w:t xml:space="preserve">（三）不同投标人的投标文件载明的项目管理成员或者联系人员为同一人；</w:t>
      </w:r>
      <w:r/>
    </w:p>
    <w:p>
      <w:pPr>
        <w:pStyle w:val="1113"/>
        <w:ind w:firstLine="420"/>
        <w:spacing w:line="360" w:lineRule="auto"/>
        <w:rPr>
          <w:rFonts w:eastAsia="宋体" w:cs="等线"/>
          <w:sz w:val="21"/>
          <w:szCs w:val="21"/>
        </w:rPr>
      </w:pPr>
      <w:r>
        <w:rPr>
          <w:rFonts w:hint="eastAsia" w:eastAsia="宋体" w:cs="等线"/>
          <w:sz w:val="21"/>
          <w:szCs w:val="21"/>
        </w:rPr>
        <w:t xml:space="preserve">（四）不同投标人的投标文件异常一致或者投标报价呈规律性差异；</w:t>
      </w:r>
      <w:r/>
    </w:p>
    <w:p>
      <w:pPr>
        <w:pStyle w:val="1113"/>
        <w:ind w:firstLine="420"/>
        <w:spacing w:line="360" w:lineRule="auto"/>
        <w:rPr>
          <w:rFonts w:eastAsia="宋体" w:cs="等线"/>
          <w:sz w:val="21"/>
          <w:szCs w:val="21"/>
        </w:rPr>
      </w:pPr>
      <w:r>
        <w:rPr>
          <w:rFonts w:hint="eastAsia" w:eastAsia="宋体" w:cs="等线"/>
          <w:sz w:val="21"/>
          <w:szCs w:val="21"/>
        </w:rPr>
        <w:t xml:space="preserve">（五）不同投标人的投标文件相互混装。</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废标</w:t>
      </w:r>
      <w:r/>
    </w:p>
    <w:p>
      <w:pPr>
        <w:numPr>
          <w:ilvl w:val="1"/>
          <w:numId w:val="4"/>
        </w:numPr>
        <w:ind w:left="0" w:firstLine="420"/>
        <w:spacing w:line="360" w:lineRule="auto"/>
        <w:rPr>
          <w:rFonts w:ascii="宋体" w:hAnsi="宋体" w:eastAsia="宋体"/>
          <w:bCs/>
          <w:sz w:val="21"/>
          <w:szCs w:val="21"/>
        </w:rPr>
      </w:pPr>
      <w:r>
        <w:rPr>
          <w:rFonts w:hint="eastAsia" w:ascii="宋体" w:hAnsi="宋体" w:eastAsia="宋体"/>
          <w:bCs/>
          <w:sz w:val="21"/>
          <w:szCs w:val="21"/>
        </w:rPr>
        <w:t xml:space="preserve">在招标过程中，出现下列情况之一的，应予废标：</w:t>
      </w:r>
      <w:r/>
    </w:p>
    <w:p>
      <w:pPr>
        <w:pStyle w:val="1113"/>
        <w:ind w:firstLine="420"/>
        <w:spacing w:line="360" w:lineRule="auto"/>
        <w:rPr>
          <w:rFonts w:eastAsia="宋体" w:cs="等线"/>
          <w:sz w:val="21"/>
          <w:szCs w:val="21"/>
        </w:rPr>
      </w:pPr>
      <w:r>
        <w:rPr>
          <w:rFonts w:hint="eastAsia" w:eastAsia="宋体" w:cs="等线"/>
          <w:sz w:val="21"/>
          <w:szCs w:val="21"/>
        </w:rPr>
        <w:t xml:space="preserve">29.1.1符合专业条件的供应商或者对招标文件作实质投标的供应商不足</w:t>
      </w:r>
      <w:r>
        <w:rPr>
          <w:rFonts w:hint="eastAsia" w:eastAsia="宋体" w:cs="等线"/>
          <w:sz w:val="21"/>
          <w:szCs w:val="21"/>
          <w:lang w:val="en-US"/>
        </w:rPr>
        <w:t xml:space="preserve">三</w:t>
      </w:r>
      <w:r>
        <w:rPr>
          <w:rFonts w:hint="eastAsia" w:eastAsia="宋体" w:cs="等线"/>
          <w:sz w:val="21"/>
          <w:szCs w:val="21"/>
        </w:rPr>
        <w:t xml:space="preserve">家的；</w:t>
      </w:r>
      <w:r/>
    </w:p>
    <w:p>
      <w:pPr>
        <w:pStyle w:val="1113"/>
        <w:ind w:firstLine="420"/>
        <w:spacing w:line="360" w:lineRule="auto"/>
        <w:rPr>
          <w:rFonts w:eastAsia="宋体" w:cs="等线"/>
          <w:sz w:val="21"/>
          <w:szCs w:val="21"/>
        </w:rPr>
      </w:pPr>
      <w:r>
        <w:rPr>
          <w:rFonts w:hint="eastAsia" w:eastAsia="宋体" w:cs="等线"/>
          <w:sz w:val="21"/>
          <w:szCs w:val="21"/>
        </w:rPr>
        <w:t xml:space="preserve">29.1.2出现影响采购公正的违法、违规行为的；</w:t>
      </w:r>
      <w:r/>
    </w:p>
    <w:p>
      <w:pPr>
        <w:pStyle w:val="1113"/>
        <w:ind w:firstLine="420"/>
        <w:spacing w:line="360" w:lineRule="auto"/>
        <w:rPr>
          <w:rFonts w:eastAsia="宋体" w:cs="等线"/>
          <w:sz w:val="21"/>
          <w:szCs w:val="21"/>
        </w:rPr>
      </w:pPr>
      <w:r>
        <w:rPr>
          <w:rFonts w:hint="eastAsia" w:eastAsia="宋体" w:cs="等线"/>
          <w:sz w:val="21"/>
          <w:szCs w:val="21"/>
        </w:rPr>
        <w:t xml:space="preserve">29.1.3投标人的报价均超过了采购预算，采购人不能支付的；</w:t>
      </w:r>
      <w:r/>
    </w:p>
    <w:p>
      <w:pPr>
        <w:pStyle w:val="1113"/>
        <w:ind w:firstLine="420"/>
        <w:spacing w:line="360" w:lineRule="auto"/>
        <w:rPr>
          <w:rFonts w:eastAsia="宋体" w:cs="等线"/>
          <w:sz w:val="21"/>
          <w:szCs w:val="21"/>
        </w:rPr>
      </w:pPr>
      <w:r>
        <w:rPr>
          <w:rFonts w:hint="eastAsia" w:eastAsia="宋体" w:cs="等线"/>
          <w:sz w:val="21"/>
          <w:szCs w:val="21"/>
        </w:rPr>
        <w:t xml:space="preserve">2</w:t>
      </w:r>
      <w:r>
        <w:rPr>
          <w:rFonts w:hint="eastAsia" w:eastAsia="宋体" w:cs="等线"/>
          <w:sz w:val="21"/>
          <w:szCs w:val="21"/>
          <w:lang w:val="en-US"/>
        </w:rPr>
        <w:t xml:space="preserve">9</w:t>
      </w:r>
      <w:r>
        <w:rPr>
          <w:rFonts w:hint="eastAsia" w:eastAsia="宋体" w:cs="等线"/>
          <w:sz w:val="21"/>
          <w:szCs w:val="21"/>
        </w:rPr>
        <w:t xml:space="preserve">.1.4因重大变故，采购任务取消的；</w:t>
      </w:r>
      <w:r/>
    </w:p>
    <w:p>
      <w:pPr>
        <w:numPr>
          <w:ilvl w:val="1"/>
          <w:numId w:val="4"/>
        </w:numPr>
        <w:ind w:left="0" w:firstLine="420"/>
        <w:spacing w:line="360" w:lineRule="auto"/>
        <w:rPr>
          <w:rFonts w:ascii="宋体" w:hAnsi="宋体" w:eastAsia="宋体"/>
          <w:bCs/>
          <w:sz w:val="21"/>
          <w:szCs w:val="21"/>
        </w:rPr>
      </w:pPr>
      <w:r>
        <w:rPr>
          <w:rFonts w:hint="eastAsia" w:ascii="宋体" w:hAnsi="宋体" w:eastAsia="宋体"/>
          <w:bCs/>
          <w:sz w:val="21"/>
          <w:szCs w:val="21"/>
        </w:rPr>
        <w:t xml:space="preserve">废标后，采购人和采购代理机构将把废标的理由通知所有投标人。</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投标文件的评价和比较</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最低的投标报价或最高的折扣比例是中标的重要条件，但不是唯一条件。</w:t>
      </w:r>
      <w:bookmarkStart w:id="30" w:name="_Toc18442"/>
      <w:r/>
      <w:bookmarkStart w:id="31" w:name="_Toc19501"/>
      <w:r/>
      <w:r/>
    </w:p>
    <w:p>
      <w:pPr>
        <w:numPr>
          <w:ilvl w:val="0"/>
          <w:numId w:val="3"/>
        </w:numPr>
        <w:spacing w:line="276" w:lineRule="auto"/>
        <w:rPr>
          <w:rFonts w:ascii="宋体" w:hAnsi="宋体" w:eastAsia="宋体"/>
          <w:b/>
          <w:sz w:val="21"/>
          <w:szCs w:val="21"/>
        </w:rPr>
      </w:pPr>
      <w:r>
        <w:rPr>
          <w:rFonts w:hint="eastAsia" w:ascii="宋体" w:hAnsi="宋体" w:eastAsia="宋体"/>
          <w:b/>
          <w:sz w:val="21"/>
          <w:szCs w:val="21"/>
        </w:rPr>
        <w:t xml:space="preserve">授予合同</w:t>
      </w:r>
      <w:bookmarkEnd w:id="30"/>
      <w:r/>
      <w:bookmarkEnd w:id="31"/>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中标单位的确认</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评标委员会根据投标人资格审查情况，对投标文件进行评价和比较，按照评标办法和标准进行评标，并按采购人的委托向采购人推荐中标人。</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合同授予标准</w:t>
      </w:r>
      <w:r/>
    </w:p>
    <w:p>
      <w:pPr>
        <w:ind w:firstLine="420"/>
        <w:spacing w:line="276" w:lineRule="auto"/>
        <w:tabs>
          <w:tab w:val="left" w:pos="425" w:leader="none"/>
          <w:tab w:val="left" w:pos="1134" w:leader="none"/>
        </w:tabs>
        <w:rPr>
          <w:rFonts w:ascii="宋体" w:hAnsi="宋体" w:eastAsia="宋体"/>
          <w:bCs/>
          <w:sz w:val="21"/>
          <w:szCs w:val="21"/>
        </w:rPr>
      </w:pPr>
      <w:r>
        <w:rPr>
          <w:rFonts w:hint="eastAsia" w:ascii="宋体" w:hAnsi="宋体" w:eastAsia="宋体"/>
          <w:bCs/>
          <w:sz w:val="21"/>
          <w:szCs w:val="21"/>
        </w:rPr>
        <w:t xml:space="preserve">采购人将把合同授予其投标文件在实质上响应投标招标文件要求且按本须知规定评选出的投标人。确定为中标的投标人必须具有实施本合同的能力和资源。</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中标通知书</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确定出中标人后，</w:t>
      </w:r>
      <w:r>
        <w:rPr>
          <w:rFonts w:hint="eastAsia" w:ascii="宋体" w:hAnsi="宋体" w:eastAsia="宋体"/>
          <w:b/>
          <w:sz w:val="21"/>
          <w:szCs w:val="21"/>
        </w:rPr>
        <w:t xml:space="preserve">采购代理机构在法定时间内向中标人发出中标通知书。请中标人在中标结果公告届满之日起30日内,使用CA证书登录“苏采云”系统及时下载中标通知书。</w:t>
      </w:r>
      <w:r>
        <w:rPr>
          <w:rFonts w:hint="eastAsia" w:ascii="宋体" w:hAnsi="宋体" w:eastAsia="宋体"/>
          <w:bCs/>
          <w:sz w:val="21"/>
          <w:szCs w:val="21"/>
        </w:rPr>
        <w:t xml:space="preserve">因系统存储空间有限，自中标结果公告届满之日起30日后，“苏采云”系统不再保证提供下载中标通知书服务,因未及时下载而造成的不利后果由中标人自行承担。</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中标通知书将成为合同的组成部分，对采购人和中标人具有同等法律效力。</w:t>
      </w:r>
      <w:r/>
    </w:p>
    <w:p>
      <w:pPr>
        <w:numPr>
          <w:ilvl w:val="1"/>
          <w:numId w:val="4"/>
        </w:numPr>
        <w:ind w:left="0" w:firstLine="420"/>
        <w:spacing w:line="276" w:lineRule="auto"/>
        <w:rPr>
          <w:rFonts w:ascii="宋体" w:hAnsi="宋体" w:eastAsia="宋体"/>
          <w:bCs/>
          <w:sz w:val="21"/>
          <w:szCs w:val="21"/>
        </w:rPr>
      </w:pPr>
      <w:r>
        <w:rPr>
          <w:rFonts w:hint="eastAsia" w:ascii="宋体" w:hAnsi="宋体" w:eastAsia="宋体"/>
          <w:bCs/>
          <w:sz w:val="21"/>
          <w:szCs w:val="21"/>
        </w:rPr>
        <w:t xml:space="preserve">中标通知书发出后，采购人不得违法改变中标结果，中标人无正当理由不得放弃中标。</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合同的签订</w:t>
      </w:r>
      <w:r/>
    </w:p>
    <w:p>
      <w:pPr>
        <w:pStyle w:val="716"/>
        <w:numPr>
          <w:ilvl w:val="1"/>
          <w:numId w:val="4"/>
        </w:numPr>
        <w:ind w:left="0" w:firstLine="502"/>
        <w:jc w:val="both"/>
        <w:spacing w:line="276" w:lineRule="auto"/>
        <w:rPr>
          <w:rFonts w:ascii="宋体" w:hAnsi="宋体" w:eastAsia="宋体" w:cs="宋体"/>
          <w:sz w:val="21"/>
          <w:szCs w:val="21"/>
        </w:rPr>
      </w:pPr>
      <w:r>
        <w:rPr>
          <w:rFonts w:hint="eastAsia" w:ascii="宋体" w:hAnsi="宋体" w:eastAsia="宋体" w:cs="宋体"/>
          <w:sz w:val="21"/>
          <w:szCs w:val="21"/>
        </w:rPr>
        <w:t xml:space="preserve">中标单位应按中标通知书中规定的时间和地点，由法定代表人或委托代理人与甲方代表签订合同,否则按放弃中标权处理。</w:t>
      </w:r>
      <w:r/>
    </w:p>
    <w:p>
      <w:pPr>
        <w:pStyle w:val="716"/>
        <w:numPr>
          <w:ilvl w:val="1"/>
          <w:numId w:val="4"/>
        </w:numPr>
        <w:ind w:left="0" w:firstLine="502"/>
        <w:jc w:val="both"/>
        <w:spacing w:line="276" w:lineRule="auto"/>
        <w:rPr>
          <w:rFonts w:ascii="宋体" w:hAnsi="宋体" w:eastAsia="宋体" w:cs="宋体"/>
          <w:sz w:val="21"/>
          <w:szCs w:val="21"/>
        </w:rPr>
      </w:pPr>
      <w:r/>
      <w:bookmarkStart w:id="32" w:name="_Toc8186"/>
      <w:r/>
      <w:bookmarkStart w:id="33" w:name="_Toc21029"/>
      <w:r>
        <w:rPr>
          <w:rFonts w:hint="eastAsia" w:ascii="宋体" w:hAnsi="宋体" w:eastAsia="宋体" w:cs="宋体"/>
          <w:sz w:val="21"/>
          <w:szCs w:val="21"/>
        </w:rPr>
        <w:t xml:space="preserve">签订合同及合同条款应以招标文件和中标单位的投标文件及其澄清文件为依据。</w:t>
      </w:r>
      <w:r/>
    </w:p>
    <w:p>
      <w:pPr>
        <w:pStyle w:val="716"/>
        <w:numPr>
          <w:ilvl w:val="1"/>
          <w:numId w:val="4"/>
        </w:numPr>
        <w:ind w:left="0" w:firstLine="502"/>
        <w:jc w:val="both"/>
        <w:spacing w:line="276" w:lineRule="auto"/>
        <w:rPr>
          <w:rFonts w:ascii="宋体" w:hAnsi="宋体" w:eastAsia="宋体" w:cs="宋体"/>
          <w:sz w:val="21"/>
          <w:szCs w:val="21"/>
        </w:rPr>
      </w:pPr>
      <w:r>
        <w:rPr>
          <w:rFonts w:hint="eastAsia" w:ascii="宋体" w:hAnsi="宋体" w:eastAsia="宋体" w:cs="宋体"/>
          <w:sz w:val="21"/>
          <w:szCs w:val="21"/>
        </w:rPr>
        <w:t xml:space="preserve">中标人无正当理由拒签合同的，或在签订合同时向采购单位提出附加条件或者更改合同实质性内容的，报相关政府采购监督部门处理。</w:t>
      </w:r>
      <w:r/>
    </w:p>
    <w:p>
      <w:pPr>
        <w:numPr>
          <w:ilvl w:val="0"/>
          <w:numId w:val="3"/>
        </w:numPr>
        <w:spacing w:line="276" w:lineRule="auto"/>
        <w:rPr>
          <w:rFonts w:ascii="宋体" w:hAnsi="宋体" w:eastAsia="宋体"/>
          <w:b/>
          <w:sz w:val="21"/>
          <w:szCs w:val="21"/>
        </w:rPr>
      </w:pPr>
      <w:r>
        <w:rPr>
          <w:rFonts w:hint="eastAsia" w:ascii="宋体" w:hAnsi="宋体" w:eastAsia="宋体"/>
          <w:b/>
          <w:sz w:val="21"/>
          <w:szCs w:val="21"/>
        </w:rPr>
        <w:t xml:space="preserve">其他事项</w:t>
      </w:r>
      <w:bookmarkEnd w:id="32"/>
      <w:r/>
      <w:bookmarkEnd w:id="33"/>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中标服务费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中标服务费由中标单位在领取中标通知书时付清（供应商所投报价应当包含该项目代理服务费）以预算金额作为收费基数标准，按收费比例差额定率累进法计算并支付，具体为100万元以内1.5%、100万元（含）-500万元以内1.1%、500万元（含）-1000万元以内0.8%、1000万元（含）-5000万元以内0.5%、5000万元以上0.25%差额定率累进法计算并支付中标服务费。</w:t>
      </w:r>
      <w:r>
        <w:rPr>
          <w:rFonts w:hint="eastAsia" w:ascii="宋体" w:hAnsi="宋体" w:eastAsia="宋体" w:cs="等线"/>
          <w:b/>
          <w:sz w:val="21"/>
          <w:szCs w:val="21"/>
          <w:lang w:val="zh-CN"/>
        </w:rPr>
        <w:t xml:space="preserve">三标段代理费为：2</w:t>
      </w:r>
      <w:r>
        <w:rPr>
          <w:rFonts w:ascii="宋体" w:hAnsi="宋体" w:eastAsia="宋体" w:cs="等线"/>
          <w:b/>
          <w:sz w:val="21"/>
          <w:szCs w:val="21"/>
          <w:lang w:val="zh-CN"/>
        </w:rPr>
        <w:t xml:space="preserve">3149</w:t>
      </w:r>
      <w:r>
        <w:rPr>
          <w:rFonts w:hint="eastAsia" w:ascii="宋体" w:hAnsi="宋体" w:eastAsia="宋体" w:cs="等线"/>
          <w:b/>
          <w:sz w:val="21"/>
          <w:szCs w:val="21"/>
          <w:lang w:val="zh-CN"/>
        </w:rPr>
        <w:t xml:space="preserve">元。</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监督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政府有关监督部门将对招投标全过程进行监督。</w:t>
      </w:r>
      <w:r/>
    </w:p>
    <w:p>
      <w:pPr>
        <w:numPr>
          <w:ilvl w:val="0"/>
          <w:numId w:val="4"/>
        </w:numPr>
        <w:spacing w:line="276" w:lineRule="auto"/>
        <w:rPr>
          <w:rFonts w:ascii="宋体" w:hAnsi="宋体" w:eastAsia="宋体"/>
          <w:b/>
          <w:bCs/>
          <w:sz w:val="21"/>
          <w:szCs w:val="21"/>
        </w:rPr>
      </w:pPr>
      <w:r>
        <w:rPr>
          <w:rFonts w:hint="eastAsia" w:ascii="宋体" w:hAnsi="宋体" w:eastAsia="宋体"/>
          <w:b/>
          <w:bCs/>
          <w:sz w:val="21"/>
          <w:szCs w:val="21"/>
        </w:rPr>
        <w:t xml:space="preserve">未尽事宜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按《中华人民共和国政府采购法》及其他有关的法律法规的规定执行。</w:t>
      </w:r>
      <w:r/>
    </w:p>
    <w:p>
      <w:pPr>
        <w:pStyle w:val="738"/>
        <w:ind w:left="0" w:firstLine="420"/>
        <w:spacing w:after="0" w:line="276" w:lineRule="auto"/>
        <w:rPr>
          <w:rFonts w:ascii="宋体" w:hAnsi="宋体" w:eastAsia="宋体"/>
          <w:sz w:val="21"/>
          <w:szCs w:val="21"/>
        </w:rPr>
      </w:pPr>
      <w:r>
        <w:rPr>
          <w:rFonts w:ascii="宋体" w:hAnsi="宋体" w:eastAsia="宋体"/>
          <w:sz w:val="21"/>
          <w:szCs w:val="21"/>
        </w:rPr>
      </w:r>
      <w:r/>
    </w:p>
    <w:p>
      <w:pPr>
        <w:pStyle w:val="738"/>
        <w:ind w:left="0"/>
        <w:jc w:val="center"/>
        <w:spacing w:after="0" w:line="276" w:lineRule="auto"/>
        <w:rPr>
          <w:rFonts w:ascii="宋体" w:hAnsi="宋体" w:eastAsia="宋体"/>
          <w:sz w:val="32"/>
          <w:szCs w:val="32"/>
        </w:rPr>
        <w:outlineLvl w:val="0"/>
      </w:pPr>
      <w:r>
        <w:rPr>
          <w:rFonts w:hint="eastAsia" w:ascii="宋体" w:hAnsi="宋体" w:eastAsia="宋体"/>
          <w:b/>
          <w:sz w:val="32"/>
          <w:szCs w:val="32"/>
        </w:rPr>
        <w:br w:type="page" w:clear="all"/>
      </w:r>
      <w:bookmarkStart w:id="34" w:name="_Toc492394289"/>
      <w:r/>
      <w:bookmarkStart w:id="35" w:name="_Toc35951273"/>
      <w:r>
        <w:rPr>
          <w:rFonts w:hint="eastAsia" w:ascii="宋体" w:hAnsi="宋体" w:eastAsia="宋体"/>
          <w:b/>
          <w:sz w:val="32"/>
          <w:szCs w:val="32"/>
        </w:rPr>
        <w:t xml:space="preserve">第三章 投标文件格式</w:t>
      </w:r>
      <w:bookmarkEnd w:id="24"/>
      <w:r/>
      <w:bookmarkEnd w:id="25"/>
      <w:r/>
      <w:bookmarkEnd w:id="34"/>
      <w:r/>
      <w:bookmarkEnd w:id="35"/>
      <w:r/>
      <w:r/>
    </w:p>
    <w:p>
      <w:pPr>
        <w:pStyle w:val="716"/>
        <w:ind w:firstLine="0"/>
        <w:jc w:val="both"/>
        <w:spacing w:line="360" w:lineRule="auto"/>
        <w:rPr>
          <w:rFonts w:ascii="宋体" w:hAnsi="宋体" w:eastAsia="宋体"/>
          <w:b/>
          <w:sz w:val="21"/>
          <w:szCs w:val="21"/>
        </w:rPr>
      </w:pPr>
      <w:r>
        <w:rPr>
          <w:rFonts w:ascii="宋体" w:hAnsi="宋体" w:eastAsia="宋体"/>
          <w:b/>
          <w:sz w:val="21"/>
          <w:szCs w:val="21"/>
        </w:rPr>
      </w:r>
      <w:r/>
    </w:p>
    <w:p>
      <w:pPr>
        <w:pStyle w:val="716"/>
        <w:ind w:firstLine="0"/>
        <w:jc w:val="both"/>
        <w:spacing w:line="360" w:lineRule="auto"/>
        <w:rPr>
          <w:rFonts w:ascii="宋体" w:hAnsi="宋体" w:eastAsia="宋体"/>
          <w:b/>
          <w:sz w:val="21"/>
          <w:szCs w:val="21"/>
        </w:rPr>
      </w:pPr>
      <w:r>
        <w:rPr>
          <w:rFonts w:hint="eastAsia" w:ascii="宋体" w:hAnsi="宋体" w:eastAsia="宋体"/>
          <w:b/>
          <w:sz w:val="21"/>
          <w:szCs w:val="21"/>
        </w:rPr>
        <w:t xml:space="preserve">说明：</w:t>
      </w:r>
      <w:r/>
    </w:p>
    <w:p>
      <w:pPr>
        <w:pStyle w:val="716"/>
        <w:ind w:firstLine="422"/>
        <w:jc w:val="both"/>
        <w:spacing w:line="360" w:lineRule="auto"/>
        <w:rPr>
          <w:rFonts w:ascii="宋体" w:hAnsi="宋体" w:eastAsia="宋体"/>
          <w:b/>
          <w:sz w:val="21"/>
          <w:szCs w:val="21"/>
        </w:rPr>
      </w:pPr>
      <w:r/>
      <w:bookmarkStart w:id="36" w:name="_Toc142194266"/>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p>
    <w:p>
      <w:pPr>
        <w:pStyle w:val="950"/>
        <w:jc w:val="left"/>
        <w:spacing w:line="360" w:lineRule="auto"/>
        <w:rPr>
          <w:rFonts w:hAnsi="宋体" w:eastAsia="宋体"/>
          <w:b/>
          <w:sz w:val="21"/>
          <w:szCs w:val="21"/>
        </w:rPr>
      </w:pPr>
      <w:r>
        <w:rPr>
          <w:rFonts w:hint="eastAsia" w:hAnsi="宋体" w:eastAsia="宋体"/>
          <w:b/>
          <w:sz w:val="21"/>
          <w:szCs w:val="21"/>
        </w:rPr>
        <w:br w:type="page" w:clear="all"/>
      </w:r>
      <w:bookmarkStart w:id="37" w:name="_Toc492394290"/>
      <w:r>
        <w:rPr>
          <w:rFonts w:hint="eastAsia" w:hAnsi="宋体" w:eastAsia="宋体"/>
          <w:b/>
          <w:sz w:val="21"/>
          <w:szCs w:val="21"/>
        </w:rPr>
        <w:t xml:space="preserve">一、投标函</w:t>
      </w:r>
      <w:bookmarkEnd w:id="36"/>
      <w:r/>
      <w:bookmarkEnd w:id="37"/>
      <w:r/>
      <w:r/>
    </w:p>
    <w:p>
      <w:pPr>
        <w:pStyle w:val="950"/>
        <w:jc w:val="center"/>
        <w:spacing w:line="360" w:lineRule="auto"/>
        <w:rPr>
          <w:rFonts w:hAnsi="宋体" w:eastAsia="宋体"/>
          <w:b/>
          <w:szCs w:val="28"/>
        </w:rPr>
      </w:pPr>
      <w:r>
        <w:rPr>
          <w:rFonts w:hint="eastAsia" w:hAnsi="宋体" w:eastAsia="宋体"/>
          <w:b/>
          <w:szCs w:val="28"/>
        </w:rPr>
        <w:t xml:space="preserve">投标函</w:t>
      </w:r>
      <w:r/>
    </w:p>
    <w:p>
      <w:pPr>
        <w:pStyle w:val="950"/>
        <w:ind w:firstLine="105"/>
        <w:spacing w:line="276" w:lineRule="auto"/>
        <w:rPr>
          <w:rFonts w:hAnsi="宋体" w:eastAsia="宋体"/>
          <w:b/>
          <w:sz w:val="21"/>
          <w:szCs w:val="21"/>
        </w:rPr>
      </w:pPr>
      <w:r>
        <w:rPr>
          <w:rFonts w:hint="eastAsia" w:hAnsi="宋体" w:eastAsia="宋体"/>
          <w:sz w:val="21"/>
          <w:szCs w:val="21"/>
          <w:u w:val="single"/>
        </w:rPr>
        <w:t xml:space="preserve">苏州公正建设咨询房地产评估有限公司 </w:t>
      </w:r>
      <w:r>
        <w:rPr>
          <w:rFonts w:hint="eastAsia" w:hAnsi="宋体" w:eastAsia="宋体"/>
          <w:sz w:val="21"/>
          <w:szCs w:val="21"/>
        </w:rPr>
        <w:t xml:space="preserve">：</w:t>
      </w:r>
      <w:r/>
    </w:p>
    <w:p>
      <w:pPr>
        <w:pStyle w:val="950"/>
        <w:ind w:firstLine="420"/>
        <w:spacing w:line="276" w:lineRule="auto"/>
        <w:rPr>
          <w:rFonts w:hAnsi="宋体" w:eastAsia="宋体"/>
          <w:sz w:val="21"/>
          <w:szCs w:val="21"/>
        </w:rPr>
      </w:pPr>
      <w:r>
        <w:rPr>
          <w:rFonts w:hint="eastAsia" w:hAnsi="宋体" w:eastAsia="宋体"/>
          <w:sz w:val="21"/>
          <w:szCs w:val="21"/>
        </w:rPr>
        <w:t xml:space="preserve">我们收到贵公司</w:t>
      </w:r>
      <w:r>
        <w:rPr>
          <w:rFonts w:hAnsi="宋体" w:eastAsia="宋体"/>
          <w:sz w:val="21"/>
          <w:szCs w:val="21"/>
          <w:u w:val="single"/>
        </w:rPr>
        <w:t xml:space="preserve">                    </w:t>
      </w:r>
      <w:r>
        <w:rPr>
          <w:rFonts w:hint="eastAsia" w:hAnsi="宋体" w:eastAsia="宋体"/>
          <w:sz w:val="21"/>
          <w:szCs w:val="21"/>
        </w:rPr>
        <w:t xml:space="preserve">号招标文件，经仔细阅读和研究，我们决定参加投标。</w:t>
      </w:r>
      <w:r/>
    </w:p>
    <w:p>
      <w:pPr>
        <w:pStyle w:val="950"/>
        <w:ind w:firstLine="420"/>
        <w:spacing w:line="276" w:lineRule="auto"/>
        <w:rPr>
          <w:rFonts w:hAnsi="宋体" w:eastAsia="宋体"/>
          <w:sz w:val="21"/>
          <w:szCs w:val="21"/>
        </w:rPr>
      </w:pPr>
      <w:r>
        <w:rPr>
          <w:rFonts w:hint="eastAsia" w:hAnsi="宋体" w:eastAsia="宋体"/>
          <w:sz w:val="21"/>
          <w:szCs w:val="21"/>
        </w:rPr>
        <w:t xml:space="preserve">1、我们愿意按照招标文件的一切要求，提供包括完成该项目所需的全部内容，我们的投标报价包括原材产品及其辅助材料（含损耗材料）、包装、运输、配送、人工、机械、保险、劳保、检测、检验、利润、代理服务费、各种税费、质保以及、政策性文件规定及合同包含的所有风险、责任等各项应有费用。</w:t>
      </w:r>
      <w:r/>
    </w:p>
    <w:p>
      <w:pPr>
        <w:pStyle w:val="950"/>
        <w:ind w:firstLine="420"/>
        <w:spacing w:line="276" w:lineRule="auto"/>
        <w:rPr>
          <w:rFonts w:hAnsi="宋体" w:eastAsia="宋体"/>
          <w:sz w:val="21"/>
          <w:szCs w:val="21"/>
        </w:rPr>
      </w:pPr>
      <w:r>
        <w:rPr>
          <w:rFonts w:hint="eastAsia" w:hAnsi="宋体" w:eastAsia="宋体"/>
          <w:sz w:val="21"/>
          <w:szCs w:val="21"/>
        </w:rPr>
        <w:t xml:space="preserve">2、如果我们的投标文件被接受，我们将严格履行招标文件中规定的每一项要求，按期、按质、按量履行合同的义务。</w:t>
      </w:r>
      <w:r/>
    </w:p>
    <w:p>
      <w:pPr>
        <w:pStyle w:val="950"/>
        <w:ind w:firstLine="420"/>
        <w:spacing w:line="276" w:lineRule="auto"/>
        <w:rPr>
          <w:rFonts w:hAnsi="宋体" w:eastAsia="宋体"/>
          <w:sz w:val="21"/>
          <w:szCs w:val="21"/>
        </w:rPr>
      </w:pPr>
      <w:r>
        <w:rPr>
          <w:rFonts w:hint="eastAsia" w:hAnsi="宋体" w:eastAsia="宋体"/>
          <w:sz w:val="21"/>
          <w:szCs w:val="21"/>
        </w:rPr>
        <w:t xml:space="preserve">3、我们已详细审查全部招标文件，包括更正公告（如果有）。我们完全理解并同意放弃对这方面有不明及误解的权力。</w:t>
      </w:r>
      <w:r/>
    </w:p>
    <w:p>
      <w:pPr>
        <w:pStyle w:val="950"/>
        <w:ind w:firstLine="420"/>
        <w:spacing w:line="276" w:lineRule="auto"/>
        <w:rPr>
          <w:rFonts w:hAnsi="宋体" w:eastAsia="宋体"/>
          <w:sz w:val="21"/>
          <w:szCs w:val="21"/>
        </w:rPr>
      </w:pPr>
      <w:r>
        <w:rPr>
          <w:rFonts w:hint="eastAsia" w:hAnsi="宋体" w:eastAsia="宋体"/>
          <w:sz w:val="21"/>
          <w:szCs w:val="21"/>
        </w:rPr>
        <w:t xml:space="preserve">4、我们同意按招标文件中的规定，本投标文件的有效期限为投标截止之日起60日内。</w:t>
      </w:r>
      <w:r/>
    </w:p>
    <w:p>
      <w:pPr>
        <w:pStyle w:val="1048"/>
        <w:ind w:firstLine="420"/>
        <w:spacing w:line="276" w:lineRule="auto"/>
        <w:rPr>
          <w:rFonts w:hAnsi="宋体" w:eastAsia="宋体"/>
          <w:sz w:val="21"/>
          <w:szCs w:val="21"/>
        </w:rPr>
      </w:pPr>
      <w:r>
        <w:rPr>
          <w:rFonts w:hint="eastAsia" w:hAnsi="宋体" w:eastAsia="宋体"/>
          <w:sz w:val="21"/>
          <w:szCs w:val="21"/>
        </w:rPr>
        <w:t xml:space="preserve">5、我们愿意提供招标代理机构在招标文件中要求的所有资料。也同意向招标代理机构提供招标代理机构可能另外要求的与投标有关的任何证据或资料。并保证所提供的资料全部是真实的、有效的，若有虚假，我们愿承担一切责任。</w:t>
      </w:r>
      <w:r/>
    </w:p>
    <w:p>
      <w:pPr>
        <w:pStyle w:val="1048"/>
        <w:ind w:firstLine="420"/>
        <w:spacing w:line="276" w:lineRule="auto"/>
        <w:rPr>
          <w:rFonts w:hAnsi="宋体" w:eastAsia="宋体"/>
          <w:sz w:val="21"/>
          <w:szCs w:val="21"/>
        </w:rPr>
      </w:pPr>
      <w:r>
        <w:rPr>
          <w:rFonts w:hint="eastAsia" w:hAnsi="宋体" w:eastAsia="宋体"/>
          <w:sz w:val="21"/>
          <w:szCs w:val="21"/>
        </w:rPr>
        <w:t xml:space="preserve">6、我们声明：我们在参加本次政府采购活动前三年内在经营活动中没有重大违法记录。</w:t>
      </w:r>
      <w:r/>
    </w:p>
    <w:p>
      <w:pPr>
        <w:pStyle w:val="716"/>
        <w:jc w:val="both"/>
        <w:spacing w:line="276" w:lineRule="auto"/>
        <w:rPr>
          <w:rFonts w:ascii="宋体" w:hAnsi="宋体" w:eastAsia="宋体"/>
          <w:sz w:val="21"/>
          <w:szCs w:val="21"/>
        </w:rPr>
      </w:pPr>
      <w:r>
        <w:rPr>
          <w:rFonts w:hint="eastAsia" w:ascii="宋体" w:hAnsi="宋体" w:eastAsia="宋体"/>
          <w:sz w:val="21"/>
          <w:szCs w:val="21"/>
        </w:rPr>
        <w:t xml:space="preserve">7、我们愿意遵守招标公告及招标文件中所列的收费标准。</w:t>
      </w:r>
      <w:r/>
    </w:p>
    <w:p>
      <w:pPr>
        <w:pStyle w:val="1048"/>
        <w:ind w:firstLine="420"/>
        <w:spacing w:line="276" w:lineRule="auto"/>
        <w:rPr>
          <w:rFonts w:hAnsi="宋体" w:eastAsia="宋体"/>
          <w:sz w:val="21"/>
          <w:szCs w:val="21"/>
        </w:rPr>
      </w:pPr>
      <w:r>
        <w:rPr>
          <w:rFonts w:hint="eastAsia" w:hAnsi="宋体" w:eastAsia="宋体"/>
          <w:sz w:val="21"/>
          <w:szCs w:val="21"/>
        </w:rPr>
        <w:t xml:space="preserve">8、我们承诺该项投标在开标后的全过程中保持有效，不作任何更改和变动。我们同意中标后若不履行投标文件的内容要求和各项承诺及义务的即被视为违约，其中标资格将被取消，并接受相应的处罚。</w:t>
      </w:r>
      <w:r/>
    </w:p>
    <w:p>
      <w:pPr>
        <w:pStyle w:val="1048"/>
        <w:ind w:firstLine="420"/>
        <w:spacing w:line="276" w:lineRule="auto"/>
        <w:rPr>
          <w:rFonts w:hAnsi="宋体" w:eastAsia="宋体"/>
          <w:sz w:val="21"/>
          <w:szCs w:val="21"/>
        </w:rPr>
      </w:pPr>
      <w:r>
        <w:rPr>
          <w:rFonts w:hint="eastAsia" w:hAnsi="宋体" w:eastAsia="宋体"/>
          <w:sz w:val="21"/>
          <w:szCs w:val="21"/>
        </w:rPr>
        <w:t xml:space="preserve">9、如果我们中标，我们愿意按招标文件的规定支付代理服务费，逾期按中国人民银行公布的同期人民币贷款最高利率计付利息；</w:t>
      </w:r>
      <w:r/>
    </w:p>
    <w:p>
      <w:pPr>
        <w:pStyle w:val="1048"/>
        <w:ind w:firstLine="420"/>
        <w:spacing w:line="276" w:lineRule="auto"/>
        <w:rPr>
          <w:rFonts w:hAnsi="宋体" w:eastAsia="宋体"/>
          <w:sz w:val="21"/>
          <w:szCs w:val="21"/>
        </w:rPr>
      </w:pPr>
      <w:r>
        <w:rPr>
          <w:rFonts w:hint="eastAsia" w:hAnsi="宋体" w:eastAsia="宋体"/>
          <w:sz w:val="21"/>
          <w:szCs w:val="21"/>
        </w:rPr>
        <w:t xml:space="preserve">10、我们承诺我公司符合招标文件投标人须知中“合格投标人的资格条件”的要求，若与真实情况不符，本公司愿意承担由此而产生的一切后果。</w:t>
      </w:r>
      <w:r/>
    </w:p>
    <w:p>
      <w:pPr>
        <w:pStyle w:val="1048"/>
        <w:ind w:firstLine="420"/>
        <w:spacing w:line="276" w:lineRule="auto"/>
        <w:rPr>
          <w:rFonts w:hAnsi="宋体" w:eastAsia="宋体"/>
          <w:sz w:val="21"/>
          <w:szCs w:val="21"/>
        </w:rPr>
      </w:pPr>
      <w:r>
        <w:rPr>
          <w:rFonts w:hint="eastAsia" w:hAnsi="宋体" w:eastAsia="宋体"/>
          <w:sz w:val="21"/>
          <w:szCs w:val="21"/>
        </w:rPr>
        <w:t xml:space="preserve">11、综合说明：</w:t>
      </w:r>
      <w:r/>
    </w:p>
    <w:p>
      <w:pPr>
        <w:pStyle w:val="1048"/>
        <w:ind w:firstLine="420"/>
        <w:spacing w:line="276" w:lineRule="auto"/>
        <w:rPr>
          <w:rFonts w:hAnsi="宋体" w:eastAsia="宋体"/>
          <w:sz w:val="21"/>
          <w:szCs w:val="21"/>
        </w:rPr>
      </w:pPr>
      <w:r>
        <w:rPr>
          <w:rFonts w:hint="eastAsia" w:hAnsi="宋体" w:eastAsia="宋体"/>
          <w:sz w:val="21"/>
          <w:szCs w:val="21"/>
        </w:rPr>
        <w:t xml:space="preserve">（1）伴随服务及配合措施；（2）要求甲方提供的配合；（3）对招标文件有不同意见的偏离说明；（4）其它说明。</w:t>
      </w:r>
      <w:r/>
    </w:p>
    <w:p>
      <w:pPr>
        <w:pStyle w:val="1048"/>
        <w:ind w:firstLine="420"/>
        <w:spacing w:line="276" w:lineRule="auto"/>
        <w:rPr>
          <w:rFonts w:hAnsi="宋体" w:eastAsia="宋体"/>
          <w:sz w:val="21"/>
          <w:szCs w:val="21"/>
        </w:rPr>
      </w:pPr>
      <w:r>
        <w:rPr>
          <w:rFonts w:hint="eastAsia" w:hAnsi="宋体" w:eastAsia="宋体"/>
          <w:sz w:val="21"/>
          <w:szCs w:val="21"/>
        </w:rPr>
        <w:t xml:space="preserve">所有有关标书的函电，请按下列地址联系：</w:t>
      </w:r>
      <w:r/>
    </w:p>
    <w:p>
      <w:pPr>
        <w:pStyle w:val="1048"/>
        <w:ind w:firstLine="420"/>
        <w:spacing w:line="276" w:lineRule="auto"/>
        <w:rPr>
          <w:rFonts w:hAnsi="宋体" w:eastAsia="宋体"/>
          <w:sz w:val="21"/>
          <w:szCs w:val="21"/>
          <w:u w:val="single"/>
        </w:rPr>
      </w:pPr>
      <w:r>
        <w:rPr>
          <w:rFonts w:hint="eastAsia" w:hAnsi="宋体" w:eastAsia="宋体"/>
          <w:sz w:val="21"/>
          <w:szCs w:val="21"/>
        </w:rPr>
        <w:t xml:space="preserve">单    位：                    联 系 人：</w:t>
      </w:r>
      <w:r/>
    </w:p>
    <w:p>
      <w:pPr>
        <w:pStyle w:val="1048"/>
        <w:ind w:firstLine="420"/>
        <w:spacing w:line="276" w:lineRule="auto"/>
        <w:rPr>
          <w:rFonts w:hAnsi="宋体" w:eastAsia="宋体"/>
          <w:sz w:val="21"/>
          <w:szCs w:val="21"/>
          <w:u w:val="single"/>
        </w:rPr>
      </w:pPr>
      <w:r>
        <w:rPr>
          <w:rFonts w:hint="eastAsia" w:hAnsi="宋体" w:eastAsia="宋体"/>
          <w:sz w:val="21"/>
          <w:szCs w:val="21"/>
        </w:rPr>
        <w:t xml:space="preserve">地    址：                    邮政编码：</w:t>
      </w:r>
      <w:r/>
    </w:p>
    <w:p>
      <w:pPr>
        <w:pStyle w:val="1048"/>
        <w:ind w:firstLine="420"/>
        <w:spacing w:line="276" w:lineRule="auto"/>
        <w:rPr>
          <w:rFonts w:hAnsi="宋体" w:eastAsia="宋体"/>
          <w:sz w:val="21"/>
          <w:szCs w:val="21"/>
          <w:u w:val="single"/>
        </w:rPr>
      </w:pPr>
      <w:r>
        <w:rPr>
          <w:rFonts w:hint="eastAsia" w:hAnsi="宋体" w:eastAsia="宋体"/>
          <w:sz w:val="21"/>
          <w:szCs w:val="21"/>
        </w:rPr>
        <w:t xml:space="preserve">联系电话：                    传    真：</w:t>
      </w:r>
      <w:r/>
    </w:p>
    <w:p>
      <w:pPr>
        <w:pStyle w:val="1048"/>
        <w:ind w:firstLine="420"/>
        <w:spacing w:line="276" w:lineRule="auto"/>
        <w:rPr>
          <w:rFonts w:hAnsi="宋体" w:eastAsia="宋体"/>
          <w:sz w:val="21"/>
          <w:szCs w:val="21"/>
        </w:rPr>
      </w:pPr>
      <w:r>
        <w:rPr>
          <w:rFonts w:hint="eastAsia" w:hAnsi="宋体" w:eastAsia="宋体"/>
          <w:sz w:val="21"/>
          <w:szCs w:val="21"/>
        </w:rPr>
        <w:t xml:space="preserve">投标人：（盖章）</w:t>
      </w:r>
      <w:r/>
    </w:p>
    <w:p>
      <w:pPr>
        <w:pStyle w:val="1048"/>
        <w:ind w:firstLine="420"/>
        <w:spacing w:line="276" w:lineRule="auto"/>
        <w:rPr>
          <w:rFonts w:hAnsi="宋体" w:eastAsia="宋体"/>
          <w:sz w:val="21"/>
          <w:szCs w:val="21"/>
        </w:rPr>
      </w:pPr>
      <w:r>
        <w:rPr>
          <w:rFonts w:hint="eastAsia" w:hAnsi="宋体" w:eastAsia="宋体"/>
          <w:sz w:val="21"/>
          <w:szCs w:val="21"/>
        </w:rPr>
        <w:t xml:space="preserve">单位法定代表人或代理人：（签字或盖章）         </w:t>
      </w:r>
      <w:r/>
    </w:p>
    <w:p>
      <w:pPr>
        <w:pStyle w:val="1048"/>
        <w:ind w:firstLine="420"/>
        <w:spacing w:line="276" w:lineRule="auto"/>
        <w:rPr>
          <w:rFonts w:hAnsi="宋体" w:eastAsia="宋体"/>
          <w:sz w:val="21"/>
          <w:szCs w:val="21"/>
        </w:rPr>
      </w:pPr>
      <w:r>
        <w:rPr>
          <w:rFonts w:hint="eastAsia" w:hAnsi="宋体" w:eastAsia="宋体"/>
          <w:sz w:val="21"/>
          <w:szCs w:val="21"/>
        </w:rPr>
        <w:t xml:space="preserve">日期：      年    月    日</w:t>
      </w:r>
      <w:r/>
    </w:p>
    <w:p>
      <w:pPr>
        <w:pStyle w:val="950"/>
        <w:jc w:val="left"/>
        <w:spacing w:line="360" w:lineRule="auto"/>
        <w:rPr>
          <w:rFonts w:hAnsi="宋体" w:eastAsia="宋体"/>
          <w:b/>
          <w:sz w:val="21"/>
          <w:szCs w:val="21"/>
        </w:rPr>
      </w:pPr>
      <w:r/>
      <w:bookmarkStart w:id="38" w:name="_Toc142194267"/>
      <w:r/>
      <w:bookmarkStart w:id="39" w:name="_Toc492394291"/>
      <w:r/>
      <w:r/>
    </w:p>
    <w:p>
      <w:pPr>
        <w:rPr>
          <w:rFonts w:ascii="宋体" w:hAnsi="宋体" w:eastAsia="宋体"/>
          <w:b/>
          <w:sz w:val="21"/>
          <w:szCs w:val="21"/>
        </w:rPr>
      </w:pPr>
      <w:r>
        <w:rPr>
          <w:rFonts w:ascii="宋体" w:hAnsi="宋体" w:eastAsia="宋体"/>
          <w:b/>
          <w:sz w:val="21"/>
          <w:szCs w:val="21"/>
        </w:rPr>
        <w:br w:type="page" w:clear="all"/>
      </w:r>
      <w:r/>
    </w:p>
    <w:p>
      <w:pPr>
        <w:pStyle w:val="950"/>
        <w:jc w:val="left"/>
        <w:spacing w:line="360" w:lineRule="auto"/>
        <w:rPr>
          <w:rFonts w:hAnsi="宋体" w:eastAsia="宋体"/>
          <w:b/>
          <w:sz w:val="21"/>
          <w:szCs w:val="21"/>
        </w:rPr>
      </w:pPr>
      <w:r>
        <w:rPr>
          <w:rFonts w:hint="eastAsia" w:hAnsi="宋体" w:eastAsia="宋体"/>
          <w:b/>
          <w:sz w:val="21"/>
          <w:szCs w:val="21"/>
        </w:rPr>
        <w:t xml:space="preserve">二、</w:t>
      </w:r>
      <w:bookmarkEnd w:id="38"/>
      <w:r>
        <w:rPr>
          <w:rFonts w:hint="eastAsia" w:hAnsi="宋体" w:eastAsia="宋体"/>
          <w:b/>
          <w:sz w:val="21"/>
          <w:szCs w:val="21"/>
        </w:rPr>
        <w:t xml:space="preserve">（投标人）法定代表人授权委托书</w:t>
      </w:r>
      <w:bookmarkEnd w:id="39"/>
      <w:r/>
      <w:r/>
    </w:p>
    <w:p>
      <w:pPr>
        <w:pStyle w:val="716"/>
        <w:ind w:firstLine="0"/>
        <w:jc w:val="center"/>
        <w:spacing w:line="360" w:lineRule="auto"/>
        <w:rPr>
          <w:rFonts w:ascii="宋体" w:hAnsi="宋体" w:eastAsia="宋体"/>
          <w:sz w:val="21"/>
          <w:szCs w:val="21"/>
        </w:rPr>
      </w:pPr>
      <w:r>
        <w:rPr>
          <w:rFonts w:ascii="宋体" w:hAnsi="宋体" w:eastAsia="宋体"/>
          <w:sz w:val="21"/>
          <w:szCs w:val="21"/>
        </w:rPr>
      </w:r>
      <w:r/>
    </w:p>
    <w:p>
      <w:pPr>
        <w:pStyle w:val="716"/>
        <w:ind w:firstLine="0"/>
        <w:jc w:val="center"/>
        <w:spacing w:line="360" w:lineRule="auto"/>
        <w:rPr>
          <w:rFonts w:ascii="宋体" w:hAnsi="宋体" w:eastAsia="宋体"/>
          <w:b/>
          <w:sz w:val="21"/>
          <w:szCs w:val="21"/>
        </w:rPr>
      </w:pPr>
      <w:r>
        <w:rPr>
          <w:rFonts w:hint="eastAsia" w:ascii="宋体" w:hAnsi="宋体" w:eastAsia="宋体"/>
          <w:b/>
          <w:sz w:val="21"/>
          <w:szCs w:val="21"/>
        </w:rPr>
        <w:t xml:space="preserve">法定代表人授权委托书</w:t>
      </w:r>
      <w:r/>
    </w:p>
    <w:p>
      <w:pPr>
        <w:pStyle w:val="716"/>
        <w:ind w:firstLine="0"/>
        <w:jc w:val="center"/>
        <w:spacing w:line="360" w:lineRule="auto"/>
        <w:rPr>
          <w:rFonts w:ascii="宋体" w:hAnsi="宋体" w:eastAsia="宋体"/>
          <w:sz w:val="21"/>
          <w:szCs w:val="21"/>
        </w:rPr>
      </w:pPr>
      <w:r>
        <w:rPr>
          <w:rFonts w:ascii="宋体" w:hAnsi="宋体" w:eastAsia="宋体"/>
          <w:sz w:val="21"/>
          <w:szCs w:val="21"/>
        </w:rPr>
      </w:r>
      <w:r/>
    </w:p>
    <w:p>
      <w:pPr>
        <w:pStyle w:val="716"/>
        <w:jc w:val="both"/>
        <w:spacing w:line="276" w:lineRule="auto"/>
        <w:rPr>
          <w:rFonts w:ascii="宋体" w:hAnsi="宋体" w:eastAsia="宋体"/>
          <w:sz w:val="21"/>
          <w:szCs w:val="21"/>
        </w:rPr>
      </w:pPr>
      <w:r>
        <w:rPr>
          <w:rFonts w:hint="eastAsia" w:ascii="宋体" w:hAnsi="宋体" w:eastAsia="宋体"/>
          <w:sz w:val="21"/>
          <w:szCs w:val="21"/>
        </w:rPr>
        <w:t xml:space="preserve">本授权委托书声明：我（姓名）系（投标人名称）的法定代表人，现授权委托（单位名称）的（姓名）为我公司代理人，以本公司的名义参加苏州公正建设咨询房地产评估有限公司组织实施的编号为</w:t>
      </w:r>
      <w:r>
        <w:rPr>
          <w:rFonts w:ascii="宋体" w:hAnsi="宋体" w:eastAsia="宋体"/>
          <w:b/>
          <w:sz w:val="21"/>
          <w:szCs w:val="21"/>
          <w:u w:val="single"/>
        </w:rPr>
        <w:t xml:space="preserve">     </w:t>
      </w:r>
      <w:r>
        <w:rPr>
          <w:rFonts w:hint="eastAsia" w:ascii="宋体" w:hAnsi="宋体" w:eastAsia="宋体"/>
          <w:sz w:val="21"/>
          <w:szCs w:val="21"/>
        </w:rPr>
        <w:t xml:space="preserve">号的招标活动。代理人在开标、评标、合同谈判过程中所签署的一切文件和处理与这有关的一切事务，我均予以承认。</w:t>
      </w:r>
      <w:r/>
    </w:p>
    <w:p>
      <w:pPr>
        <w:pStyle w:val="716"/>
        <w:jc w:val="both"/>
        <w:spacing w:line="276" w:lineRule="auto"/>
        <w:rPr>
          <w:rFonts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16"/>
        <w:jc w:val="both"/>
        <w:spacing w:line="276" w:lineRule="auto"/>
        <w:rPr>
          <w:rFonts w:ascii="宋体" w:hAnsi="宋体" w:eastAsia="宋体"/>
          <w:sz w:val="21"/>
          <w:szCs w:val="21"/>
        </w:rPr>
      </w:pPr>
      <w:r>
        <w:rPr>
          <w:rFonts w:hint="eastAsia" w:ascii="宋体" w:hAnsi="宋体" w:eastAsia="宋体"/>
          <w:sz w:val="21"/>
          <w:szCs w:val="21"/>
        </w:rPr>
        <w:t xml:space="preserve">代理人无转委托权。特此委托。</w:t>
      </w:r>
      <w:r/>
    </w:p>
    <w:p>
      <w:pPr>
        <w:pStyle w:val="716"/>
        <w:jc w:val="both"/>
        <w:spacing w:line="360" w:lineRule="auto"/>
        <w:rPr>
          <w:rFonts w:ascii="宋体" w:hAnsi="宋体" w:eastAsia="宋体"/>
          <w:sz w:val="21"/>
          <w:szCs w:val="21"/>
        </w:rPr>
      </w:pPr>
      <w:r>
        <w:rPr>
          <w:rFonts w:ascii="宋体" w:hAnsi="宋体" w:eastAsia="宋体"/>
          <w:sz w:val="21"/>
          <w:szCs w:val="21"/>
        </w:rPr>
      </w:r>
      <w:r/>
    </w:p>
    <w:p>
      <w:pPr>
        <w:pStyle w:val="716"/>
        <w:jc w:val="both"/>
        <w:spacing w:line="360" w:lineRule="auto"/>
        <w:rPr>
          <w:rFonts w:ascii="宋体" w:hAnsi="宋体" w:eastAsia="宋体"/>
          <w:sz w:val="21"/>
          <w:szCs w:val="21"/>
        </w:rPr>
      </w:pPr>
      <w:r>
        <w:rPr>
          <w:rFonts w:ascii="宋体" w:hAnsi="宋体" w:eastAsia="宋体"/>
          <w:sz w:val="21"/>
          <w:szCs w:val="21"/>
        </w:rPr>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投标人：（盖章）</w:t>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法定代表人：（签字或盖章）</w:t>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日期：      年    月    日</w:t>
      </w:r>
      <w:bookmarkStart w:id="40" w:name="_Toc142194268"/>
      <w:r/>
      <w:r/>
    </w:p>
    <w:p>
      <w:pPr>
        <w:pStyle w:val="950"/>
        <w:jc w:val="left"/>
        <w:spacing w:line="360" w:lineRule="auto"/>
        <w:rPr>
          <w:rFonts w:hAnsi="宋体" w:eastAsia="宋体"/>
          <w:b/>
          <w:sz w:val="21"/>
          <w:szCs w:val="21"/>
        </w:rPr>
      </w:pPr>
      <w:r>
        <w:rPr>
          <w:rFonts w:hint="eastAsia" w:hAnsi="宋体" w:eastAsia="宋体"/>
          <w:b/>
          <w:sz w:val="21"/>
          <w:szCs w:val="21"/>
        </w:rPr>
        <w:br w:type="page" w:clear="all"/>
      </w:r>
      <w:bookmarkStart w:id="41" w:name="_Toc492394292"/>
      <w:r>
        <w:rPr>
          <w:rFonts w:hint="eastAsia" w:hAnsi="宋体" w:eastAsia="宋体"/>
          <w:b/>
          <w:sz w:val="21"/>
          <w:szCs w:val="21"/>
        </w:rPr>
        <w:t xml:space="preserve">三、</w:t>
      </w:r>
      <w:bookmarkEnd w:id="40"/>
      <w:r/>
      <w:bookmarkEnd w:id="41"/>
      <w:r>
        <w:rPr>
          <w:rFonts w:hint="eastAsia" w:hAnsi="宋体" w:eastAsia="宋体"/>
          <w:b/>
          <w:sz w:val="21"/>
          <w:szCs w:val="21"/>
        </w:rPr>
        <w:t xml:space="preserve">开标一览表、投标报价明细表</w:t>
      </w:r>
      <w:r/>
    </w:p>
    <w:p>
      <w:pPr>
        <w:jc w:val="center"/>
        <w:rPr>
          <w:rFonts w:ascii="宋体" w:hAnsi="宋体" w:eastAsia="宋体"/>
          <w:b/>
          <w:sz w:val="30"/>
          <w:szCs w:val="30"/>
        </w:rPr>
      </w:pPr>
      <w:r/>
      <w:bookmarkStart w:id="42" w:name="_Toc142194270"/>
      <w:r>
        <w:rPr>
          <w:rFonts w:hint="eastAsia" w:ascii="宋体" w:hAnsi="宋体" w:eastAsia="宋体" w:cs="宋体"/>
          <w:b/>
          <w:sz w:val="30"/>
          <w:szCs w:val="30"/>
          <w:lang w:val="zh-CN"/>
        </w:rPr>
        <w:t xml:space="preserve">开标一览表</w:t>
      </w:r>
      <w:r/>
    </w:p>
    <w:p>
      <w:pPr>
        <w:ind w:firstLine="359"/>
        <w:rPr>
          <w:rFonts w:ascii="宋体" w:hAnsi="宋体" w:eastAsia="宋体" w:cs="宋体"/>
          <w:sz w:val="21"/>
          <w:szCs w:val="21"/>
          <w:lang w:val="zh-CN"/>
        </w:rPr>
      </w:pPr>
      <w:r>
        <w:rPr>
          <w:rFonts w:ascii="宋体" w:hAnsi="宋体" w:eastAsia="宋体" w:cs="宋体"/>
          <w:sz w:val="21"/>
          <w:szCs w:val="21"/>
          <w:lang w:val="zh-CN"/>
        </w:rPr>
      </w:r>
      <w:r/>
    </w:p>
    <w:p>
      <w:pPr>
        <w:pStyle w:val="950"/>
        <w:ind w:firstLine="420"/>
        <w:spacing w:line="480" w:lineRule="auto"/>
        <w:rPr>
          <w:rFonts w:hAnsi="宋体" w:eastAsia="宋体" w:cs="宋体"/>
          <w:sz w:val="21"/>
          <w:szCs w:val="21"/>
          <w:u w:val="single"/>
        </w:rPr>
      </w:pPr>
      <w:r>
        <w:rPr>
          <w:rFonts w:hint="eastAsia" w:hAnsi="宋体" w:eastAsia="宋体" w:cs="宋体"/>
          <w:sz w:val="21"/>
          <w:szCs w:val="21"/>
        </w:rPr>
        <w:t xml:space="preserve">招标编号：</w:t>
      </w:r>
      <w:r>
        <w:rPr>
          <w:rFonts w:hint="eastAsia" w:hAnsi="宋体" w:eastAsia="宋体"/>
          <w:sz w:val="21"/>
          <w:szCs w:val="21"/>
        </w:rPr>
        <w:t xml:space="preserve"> </w:t>
      </w:r>
      <w:r/>
    </w:p>
    <w:tbl>
      <w:tblPr>
        <w:tblW w:w="0" w:type="dxa"/>
        <w:jc w:val="center"/>
        <w:tblLayout w:type="fixed"/>
        <w:tblLook w:val="04A0" w:firstRow="1" w:lastRow="0" w:firstColumn="1" w:lastColumn="0" w:noHBand="0" w:noVBand="1"/>
      </w:tblPr>
      <w:tblGrid>
        <w:gridCol w:w="819"/>
        <w:gridCol w:w="1354"/>
        <w:gridCol w:w="1386"/>
        <w:gridCol w:w="3124"/>
        <w:gridCol w:w="2537"/>
      </w:tblGrid>
      <w:tr>
        <w:trPr>
          <w:jc w:val="center"/>
          <w:trHeight w:val="96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序号</w:t>
            </w:r>
            <w:r/>
          </w:p>
        </w:tc>
        <w:tc>
          <w:tcPr>
            <w:gridSpan w:val="2"/>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3124" w:type="dxa"/>
            <w:vAlign w:val="center"/>
            <w:textDirection w:val="lrTb"/>
            <w:noWrap w:val="false"/>
          </w:tcPr>
          <w:p>
            <w:pPr>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投标总报价</w:t>
            </w:r>
            <w:r/>
          </w:p>
        </w:tc>
        <w:tc>
          <w:tcPr>
            <w:tcBorders>
              <w:top w:val="single" w:color="000000" w:sz="4" w:space="0"/>
              <w:left w:val="none" w:color="000000" w:sz="4" w:space="0"/>
              <w:bottom w:val="single" w:color="000000" w:sz="4" w:space="0"/>
              <w:right w:val="single" w:color="000000" w:sz="4" w:space="0"/>
            </w:tcBorders>
            <w:tcW w:w="2537" w:type="dxa"/>
            <w:vAlign w:val="center"/>
            <w:textDirection w:val="lrTb"/>
            <w:noWrap w:val="false"/>
          </w:tcPr>
          <w:p>
            <w:pPr>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供货期限</w:t>
            </w:r>
            <w:r/>
          </w:p>
        </w:tc>
      </w:tr>
      <w:tr>
        <w:trPr>
          <w:jc w:val="center"/>
          <w:trHeight w:val="977"/>
        </w:trPr>
        <w:tc>
          <w:tcPr>
            <w:tcBorders>
              <w:top w:val="non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gridSpan w:val="2"/>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124" w:type="dxa"/>
            <w:vAlign w:val="center"/>
            <w:textDirection w:val="lrTb"/>
            <w:noWrap w:val="false"/>
          </w:tcPr>
          <w:p>
            <w:pPr>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人民币大写：                              （小写：        ）</w:t>
            </w:r>
            <w:r/>
          </w:p>
        </w:tc>
        <w:tc>
          <w:tcPr>
            <w:tcBorders>
              <w:top w:val="none" w:color="000000" w:sz="4" w:space="0"/>
              <w:left w:val="none" w:color="000000" w:sz="4" w:space="0"/>
              <w:bottom w:val="single" w:color="000000" w:sz="4" w:space="0"/>
              <w:right w:val="single" w:color="000000" w:sz="4" w:space="0"/>
            </w:tcBorders>
            <w:tcW w:w="2537" w:type="dxa"/>
            <w:vAlign w:val="center"/>
            <w:textDirection w:val="lrTb"/>
            <w:noWrap w:val="false"/>
          </w:tcPr>
          <w:p>
            <w:pPr>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jc w:val="center"/>
          <w:trHeight w:val="1205"/>
        </w:trPr>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企业类型</w:t>
            </w:r>
            <w:r/>
          </w:p>
        </w:tc>
        <w:tc>
          <w:tcPr>
            <w:gridSpan w:val="3"/>
            <w:tcBorders>
              <w:top w:val="single" w:color="000000" w:sz="4" w:space="0"/>
              <w:left w:val="none" w:color="000000" w:sz="4" w:space="0"/>
              <w:bottom w:val="single" w:color="000000" w:sz="4" w:space="0"/>
              <w:right w:val="single" w:color="000000" w:sz="4" w:space="0"/>
            </w:tcBorders>
            <w:tcW w:w="7047" w:type="dxa"/>
            <w:vAlign w:val="center"/>
            <w:textDirection w:val="lrTb"/>
            <w:noWrap w:val="false"/>
          </w:tcPr>
          <w:p>
            <w:pPr>
              <w:ind w:firstLine="210"/>
              <w:jc w:val="left"/>
              <w:spacing w:line="360" w:lineRule="auto"/>
              <w:rPr>
                <w:rFonts w:ascii="宋体" w:hAnsi="宋体" w:eastAsia="宋体" w:cs="宋体"/>
                <w:sz w:val="21"/>
                <w:szCs w:val="21"/>
                <w:lang w:val="zh-CN"/>
              </w:rPr>
            </w:pPr>
            <w:r>
              <w:rPr>
                <w:rFonts w:hint="eastAsia" w:ascii="宋体" w:hAnsi="宋体" w:eastAsia="宋体" w:cs="宋体"/>
                <w:sz w:val="21"/>
                <w:szCs w:val="21"/>
              </w:rPr>
              <w:t xml:space="preserve">微型企业□                小型企业□    </w:t>
            </w:r>
            <w:r/>
          </w:p>
          <w:p>
            <w:pPr>
              <w:ind w:firstLine="210"/>
              <w:jc w:val="left"/>
              <w:spacing w:line="360" w:lineRule="auto"/>
              <w:rPr>
                <w:rFonts w:ascii="宋体" w:hAnsi="宋体" w:eastAsia="宋体" w:cs="宋体"/>
                <w:sz w:val="21"/>
                <w:szCs w:val="21"/>
              </w:rPr>
            </w:pPr>
            <w:r>
              <w:rPr>
                <w:rFonts w:hint="eastAsia" w:ascii="宋体" w:hAnsi="宋体" w:eastAsia="宋体" w:cs="宋体"/>
                <w:sz w:val="21"/>
                <w:szCs w:val="21"/>
              </w:rPr>
              <w:t xml:space="preserve">残疾人福利性单位□        监狱企业□  </w:t>
            </w:r>
            <w:r/>
          </w:p>
        </w:tc>
      </w:tr>
    </w:tbl>
    <w:p>
      <w:pPr>
        <w:ind w:firstLine="359"/>
        <w:rPr>
          <w:rFonts w:ascii="宋体" w:hAnsi="宋体" w:eastAsia="宋体"/>
          <w:sz w:val="21"/>
          <w:szCs w:val="21"/>
        </w:rPr>
      </w:pPr>
      <w:r>
        <w:rPr>
          <w:rFonts w:ascii="宋体" w:hAnsi="宋体" w:eastAsia="宋体"/>
          <w:sz w:val="21"/>
          <w:szCs w:val="21"/>
        </w:rPr>
      </w:r>
      <w:r/>
    </w:p>
    <w:p>
      <w:pPr>
        <w:ind w:firstLine="359"/>
        <w:rPr>
          <w:rFonts w:ascii="宋体" w:hAnsi="宋体" w:eastAsia="宋体"/>
          <w:sz w:val="21"/>
          <w:szCs w:val="21"/>
        </w:rPr>
      </w:pPr>
      <w:r>
        <w:rPr>
          <w:rFonts w:ascii="宋体" w:hAnsi="宋体" w:eastAsia="宋体"/>
          <w:sz w:val="21"/>
          <w:szCs w:val="21"/>
        </w:rPr>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投标人：（盖章）</w:t>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法定代表人或其授权委托人：（签字或盖章）                   </w:t>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日期：年  月  日</w:t>
      </w:r>
      <w:r/>
    </w:p>
    <w:p>
      <w:pPr>
        <w:pStyle w:val="716"/>
        <w:ind w:firstLine="422"/>
        <w:jc w:val="both"/>
        <w:spacing w:line="360" w:lineRule="auto"/>
        <w:rPr>
          <w:rFonts w:ascii="宋体" w:hAnsi="宋体" w:eastAsia="宋体"/>
          <w:b/>
          <w:sz w:val="21"/>
          <w:szCs w:val="21"/>
        </w:rPr>
      </w:pPr>
      <w:r>
        <w:rPr>
          <w:rFonts w:ascii="宋体" w:hAnsi="宋体" w:eastAsia="宋体"/>
          <w:b/>
          <w:sz w:val="21"/>
          <w:szCs w:val="21"/>
        </w:rPr>
      </w:r>
      <w:r/>
    </w:p>
    <w:p>
      <w:pPr>
        <w:jc w:val="center"/>
        <w:spacing w:line="400" w:lineRule="exact"/>
        <w:rPr>
          <w:rFonts w:ascii="宋体" w:hAnsi="宋体" w:eastAsia="宋体" w:cs="宋体"/>
          <w:b/>
          <w:bCs/>
          <w:sz w:val="21"/>
          <w:szCs w:val="21"/>
        </w:rPr>
      </w:pPr>
      <w:r>
        <w:rPr>
          <w:rFonts w:hint="eastAsia" w:ascii="宋体" w:hAnsi="宋体" w:eastAsia="宋体" w:cs="宋体"/>
          <w:b/>
          <w:bCs/>
          <w:szCs w:val="21"/>
        </w:rPr>
        <w:t xml:space="preserve">投标报价明细表</w:t>
      </w:r>
      <w:r/>
    </w:p>
    <w:p>
      <w:pPr>
        <w:pStyle w:val="720"/>
        <w:ind w:left="560"/>
        <w:rPr>
          <w:rFonts w:ascii="宋体" w:hAnsi="宋体" w:eastAsia="宋体" w:cs="宋体"/>
          <w:sz w:val="21"/>
          <w:szCs w:val="21"/>
        </w:rPr>
      </w:pPr>
      <w:r>
        <w:rPr>
          <w:rFonts w:hint="eastAsia" w:ascii="宋体" w:hAnsi="宋体" w:eastAsia="宋体" w:cs="宋体"/>
          <w:sz w:val="21"/>
          <w:szCs w:val="21"/>
        </w:rPr>
        <w:t xml:space="preserve">项目名称： </w:t>
      </w:r>
      <w:r>
        <w:rPr>
          <w:rFonts w:ascii="宋体" w:hAnsi="宋体" w:eastAsia="宋体" w:cs="宋体"/>
          <w:sz w:val="21"/>
          <w:szCs w:val="21"/>
        </w:rPr>
        <w:t xml:space="preserve">                                            </w:t>
      </w:r>
      <w:r>
        <w:rPr>
          <w:rFonts w:hint="eastAsia" w:ascii="宋体" w:hAnsi="宋体" w:eastAsia="宋体" w:cs="宋体"/>
          <w:sz w:val="21"/>
          <w:szCs w:val="21"/>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398"/>
        <w:gridCol w:w="1154"/>
        <w:gridCol w:w="1275"/>
        <w:gridCol w:w="1276"/>
        <w:gridCol w:w="1163"/>
        <w:gridCol w:w="1276"/>
        <w:gridCol w:w="1867"/>
      </w:tblGrid>
      <w:tr>
        <w:trPr>
          <w:jc w:val="center"/>
          <w:trHeight w:val="441"/>
        </w:trPr>
        <w:tc>
          <w:tcPr>
            <w:tcW w:w="735" w:type="dxa"/>
            <w:vAlign w:val="center"/>
            <w:textDirection w:val="lrTb"/>
            <w:noWrap w:val="false"/>
          </w:tcPr>
          <w:p>
            <w:pPr>
              <w:pStyle w:val="724"/>
              <w:jc w:val="center"/>
              <w:spacing w:before="190" w:line="360" w:lineRule="auto"/>
              <w:rPr>
                <w:rFonts w:hAnsi="宋体" w:eastAsia="宋体" w:cs="宋体"/>
                <w:sz w:val="21"/>
                <w:szCs w:val="21"/>
              </w:rPr>
            </w:pPr>
            <w:r>
              <w:rPr>
                <w:rFonts w:hint="eastAsia" w:hAnsi="宋体" w:eastAsia="宋体" w:cs="宋体"/>
                <w:sz w:val="21"/>
                <w:szCs w:val="21"/>
              </w:rPr>
              <w:t xml:space="preserve">序号</w:t>
            </w:r>
            <w:r/>
          </w:p>
        </w:tc>
        <w:tc>
          <w:tcPr>
            <w:tcW w:w="1398" w:type="dxa"/>
            <w:vAlign w:val="center"/>
            <w:textDirection w:val="lrTb"/>
            <w:noWrap w:val="false"/>
          </w:tcPr>
          <w:p>
            <w:pPr>
              <w:pStyle w:val="724"/>
              <w:jc w:val="center"/>
              <w:spacing w:line="400" w:lineRule="exact"/>
              <w:rPr>
                <w:rFonts w:hAnsi="宋体" w:eastAsia="宋体" w:cs="宋体"/>
                <w:sz w:val="21"/>
                <w:szCs w:val="21"/>
              </w:rPr>
            </w:pPr>
            <w:r>
              <w:rPr>
                <w:rFonts w:hint="eastAsia" w:hAnsi="宋体" w:eastAsia="宋体" w:cs="宋体"/>
                <w:sz w:val="21"/>
                <w:szCs w:val="21"/>
              </w:rPr>
              <w:t xml:space="preserve">设备名称</w:t>
            </w:r>
            <w:r/>
          </w:p>
        </w:tc>
        <w:tc>
          <w:tcPr>
            <w:tcW w:w="1154" w:type="dxa"/>
            <w:vAlign w:val="center"/>
            <w:textDirection w:val="lrTb"/>
            <w:noWrap w:val="false"/>
          </w:tcPr>
          <w:p>
            <w:pPr>
              <w:pStyle w:val="724"/>
              <w:jc w:val="center"/>
              <w:spacing w:before="190" w:line="360" w:lineRule="auto"/>
              <w:rPr>
                <w:rFonts w:hAnsi="宋体" w:eastAsia="宋体" w:cs="宋体"/>
                <w:sz w:val="21"/>
                <w:szCs w:val="21"/>
              </w:rPr>
            </w:pPr>
            <w:r>
              <w:rPr>
                <w:rFonts w:hint="eastAsia" w:hAnsi="宋体" w:eastAsia="宋体" w:cs="宋体"/>
                <w:sz w:val="21"/>
                <w:szCs w:val="21"/>
              </w:rPr>
              <w:t xml:space="preserve">品牌、型号、规格</w:t>
            </w:r>
            <w:r/>
          </w:p>
        </w:tc>
        <w:tc>
          <w:tcPr>
            <w:tcW w:w="1275" w:type="dxa"/>
            <w:vAlign w:val="center"/>
            <w:textDirection w:val="lrTb"/>
            <w:noWrap w:val="false"/>
          </w:tcPr>
          <w:p>
            <w:pPr>
              <w:pStyle w:val="724"/>
              <w:jc w:val="center"/>
              <w:spacing w:before="190" w:line="360" w:lineRule="auto"/>
              <w:rPr>
                <w:rFonts w:hAnsi="宋体" w:eastAsia="宋体" w:cs="宋体"/>
                <w:sz w:val="21"/>
                <w:szCs w:val="21"/>
              </w:rPr>
            </w:pPr>
            <w:r>
              <w:rPr>
                <w:rFonts w:hint="eastAsia" w:hAnsi="宋体" w:eastAsia="宋体" w:cs="宋体"/>
                <w:sz w:val="21"/>
                <w:szCs w:val="21"/>
              </w:rPr>
              <w:t xml:space="preserve">生产厂家</w:t>
            </w:r>
            <w:r/>
          </w:p>
        </w:tc>
        <w:tc>
          <w:tcPr>
            <w:tcW w:w="1276" w:type="dxa"/>
            <w:vAlign w:val="center"/>
            <w:textDirection w:val="lrTb"/>
            <w:noWrap w:val="false"/>
          </w:tcPr>
          <w:p>
            <w:pPr>
              <w:pStyle w:val="724"/>
              <w:jc w:val="center"/>
              <w:spacing w:before="190" w:line="360" w:lineRule="auto"/>
              <w:rPr>
                <w:rFonts w:hAnsi="宋体" w:eastAsia="宋体" w:cs="宋体"/>
                <w:sz w:val="21"/>
                <w:szCs w:val="21"/>
              </w:rPr>
            </w:pPr>
            <w:r>
              <w:rPr>
                <w:rFonts w:hint="eastAsia" w:hAnsi="宋体" w:eastAsia="宋体" w:cs="宋体"/>
                <w:sz w:val="21"/>
                <w:szCs w:val="21"/>
              </w:rPr>
              <w:t xml:space="preserve">数量/单位</w:t>
            </w:r>
            <w:r/>
          </w:p>
        </w:tc>
        <w:tc>
          <w:tcPr>
            <w:tcW w:w="1163" w:type="dxa"/>
            <w:vAlign w:val="center"/>
            <w:textDirection w:val="lrTb"/>
            <w:noWrap w:val="false"/>
          </w:tcPr>
          <w:p>
            <w:pPr>
              <w:pStyle w:val="724"/>
              <w:jc w:val="center"/>
              <w:spacing w:before="190" w:line="360" w:lineRule="auto"/>
              <w:rPr>
                <w:rFonts w:hAnsi="宋体" w:eastAsia="宋体" w:cs="宋体"/>
                <w:sz w:val="21"/>
                <w:szCs w:val="21"/>
              </w:rPr>
            </w:pPr>
            <w:r>
              <w:rPr>
                <w:rFonts w:hint="eastAsia" w:hAnsi="宋体" w:eastAsia="宋体" w:cs="宋体"/>
                <w:sz w:val="21"/>
                <w:szCs w:val="21"/>
              </w:rPr>
              <w:t xml:space="preserve">单价（元）</w:t>
            </w:r>
            <w:r/>
          </w:p>
        </w:tc>
        <w:tc>
          <w:tcPr>
            <w:tcW w:w="1276" w:type="dxa"/>
            <w:vAlign w:val="center"/>
            <w:textDirection w:val="lrTb"/>
            <w:noWrap w:val="false"/>
          </w:tcPr>
          <w:p>
            <w:pPr>
              <w:pStyle w:val="724"/>
              <w:jc w:val="center"/>
              <w:spacing w:before="190" w:line="360" w:lineRule="auto"/>
              <w:rPr>
                <w:rFonts w:hAnsi="宋体" w:eastAsia="宋体" w:cs="宋体"/>
                <w:sz w:val="21"/>
                <w:szCs w:val="21"/>
              </w:rPr>
            </w:pPr>
            <w:r>
              <w:rPr>
                <w:rFonts w:hint="eastAsia" w:hAnsi="宋体" w:eastAsia="宋体" w:cs="宋体"/>
                <w:sz w:val="21"/>
                <w:szCs w:val="21"/>
              </w:rPr>
              <w:t xml:space="preserve">总价（元）</w:t>
            </w:r>
            <w:r/>
          </w:p>
        </w:tc>
        <w:tc>
          <w:tcPr>
            <w:tcW w:w="1867" w:type="dxa"/>
            <w:vAlign w:val="center"/>
            <w:textDirection w:val="lrTb"/>
            <w:noWrap w:val="false"/>
          </w:tcPr>
          <w:p>
            <w:pPr>
              <w:pStyle w:val="724"/>
              <w:jc w:val="center"/>
              <w:spacing w:line="400" w:lineRule="exact"/>
              <w:rPr>
                <w:rFonts w:hAnsi="宋体" w:eastAsia="宋体" w:cs="宋体"/>
                <w:sz w:val="21"/>
                <w:szCs w:val="21"/>
              </w:rPr>
            </w:pPr>
            <w:r>
              <w:rPr>
                <w:rFonts w:hint="eastAsia" w:hAnsi="宋体" w:eastAsia="宋体" w:cs="宋体"/>
                <w:sz w:val="21"/>
                <w:szCs w:val="21"/>
              </w:rPr>
              <w:t xml:space="preserve">是否属于小微型、监狱、残疾人企业的产品</w:t>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Cs w:val="21"/>
              </w:rPr>
              <w:t xml:space="preserve">1</w:t>
            </w:r>
            <w:r/>
          </w:p>
        </w:tc>
        <w:tc>
          <w:tcPr>
            <w:tcW w:w="1398"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54"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5"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63"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867"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398"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54"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5"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63"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867"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398"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54"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5"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63"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867"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398"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54"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5"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63"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867"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398"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54"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5"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163"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276"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c>
          <w:tcPr>
            <w:tcW w:w="1867" w:type="dxa"/>
            <w:vAlign w:val="center"/>
            <w:textDirection w:val="lrTb"/>
            <w:noWrap w:val="false"/>
          </w:tcPr>
          <w:p>
            <w:pPr>
              <w:pStyle w:val="724"/>
              <w:jc w:val="center"/>
              <w:spacing w:line="360" w:lineRule="auto"/>
              <w:rPr>
                <w:rFonts w:hAnsi="宋体" w:eastAsia="宋体" w:cs="宋体"/>
                <w:sz w:val="21"/>
                <w:szCs w:val="21"/>
              </w:rPr>
            </w:pPr>
            <w:r>
              <w:rPr>
                <w:rFonts w:hAnsi="宋体" w:eastAsia="宋体" w:cs="宋体"/>
                <w:sz w:val="21"/>
                <w:szCs w:val="21"/>
              </w:rPr>
            </w:r>
            <w:r/>
          </w:p>
        </w:tc>
      </w:tr>
      <w:tr>
        <w:trPr>
          <w:jc w:val="center"/>
        </w:trPr>
        <w:tc>
          <w:tcPr>
            <w:gridSpan w:val="8"/>
            <w:tcW w:w="10144" w:type="dxa"/>
            <w:vAlign w:val="center"/>
            <w:textDirection w:val="lrTb"/>
            <w:noWrap w:val="false"/>
          </w:tcPr>
          <w:p>
            <w:pPr>
              <w:pStyle w:val="724"/>
              <w:spacing w:line="360" w:lineRule="auto"/>
              <w:rPr>
                <w:rFonts w:hAnsi="宋体" w:eastAsia="宋体" w:cs="宋体"/>
                <w:sz w:val="21"/>
                <w:szCs w:val="21"/>
                <w:u w:val="single"/>
              </w:rPr>
            </w:pPr>
            <w:r>
              <w:rPr>
                <w:rFonts w:hint="eastAsia" w:hAnsi="宋体" w:eastAsia="宋体" w:cs="宋体"/>
                <w:sz w:val="21"/>
                <w:szCs w:val="21"/>
              </w:rPr>
              <w:t xml:space="preserve">投标总报价：人民币（大写）</w:t>
            </w:r>
            <w:r>
              <w:rPr>
                <w:rFonts w:hint="eastAsia" w:hAnsi="宋体" w:eastAsia="宋体" w:cs="宋体"/>
                <w:sz w:val="21"/>
                <w:szCs w:val="21"/>
                <w:u w:val="single"/>
              </w:rPr>
              <w:t xml:space="preserve">                         </w:t>
            </w:r>
            <w:r>
              <w:rPr>
                <w:rFonts w:hint="eastAsia" w:hAnsi="宋体" w:eastAsia="宋体" w:cs="宋体"/>
                <w:sz w:val="21"/>
                <w:szCs w:val="21"/>
              </w:rPr>
              <w:t xml:space="preserve">；￥</w:t>
            </w:r>
            <w:r>
              <w:rPr>
                <w:rFonts w:hint="eastAsia" w:hAnsi="宋体" w:eastAsia="宋体" w:cs="宋体"/>
                <w:sz w:val="21"/>
                <w:szCs w:val="21"/>
                <w:u w:val="single"/>
              </w:rPr>
              <w:t xml:space="preserve">                       </w:t>
            </w:r>
            <w:r>
              <w:rPr>
                <w:rFonts w:hint="eastAsia" w:hAnsi="宋体" w:eastAsia="宋体" w:cs="宋体"/>
                <w:sz w:val="21"/>
                <w:szCs w:val="21"/>
              </w:rPr>
              <w:t xml:space="preserve"> ；</w:t>
            </w:r>
            <w:r/>
          </w:p>
        </w:tc>
      </w:tr>
    </w:tbl>
    <w:p>
      <w:pPr>
        <w:spacing w:line="440" w:lineRule="exact"/>
        <w:rPr>
          <w:rFonts w:ascii="宋体" w:hAnsi="宋体" w:eastAsia="宋体" w:cs="宋体"/>
          <w:bCs/>
          <w:sz w:val="21"/>
          <w:szCs w:val="21"/>
        </w:rPr>
      </w:pPr>
      <w:r>
        <w:rPr>
          <w:rFonts w:hint="eastAsia" w:ascii="宋体" w:hAnsi="宋体" w:eastAsia="宋体" w:cs="宋体"/>
          <w:sz w:val="21"/>
          <w:szCs w:val="21"/>
        </w:rPr>
        <w:t xml:space="preserve">注：“</w:t>
      </w:r>
      <w:r>
        <w:rPr>
          <w:rFonts w:hint="eastAsia" w:ascii="宋体" w:hAnsi="宋体" w:eastAsia="宋体" w:cs="宋体"/>
          <w:bCs/>
          <w:sz w:val="21"/>
          <w:szCs w:val="21"/>
        </w:rPr>
        <w:t xml:space="preserve">投标报价分析表”投标总价应当与“开标一览表”的</w:t>
      </w:r>
      <w:r>
        <w:rPr>
          <w:rFonts w:hint="eastAsia" w:ascii="宋体" w:hAnsi="宋体" w:eastAsia="宋体" w:cs="宋体"/>
          <w:sz w:val="21"/>
          <w:szCs w:val="21"/>
        </w:rPr>
        <w:t xml:space="preserve">投标总价</w:t>
      </w:r>
      <w:r>
        <w:rPr>
          <w:rFonts w:hint="eastAsia" w:ascii="宋体" w:hAnsi="宋体" w:eastAsia="宋体" w:cs="宋体"/>
          <w:bCs/>
          <w:sz w:val="21"/>
          <w:szCs w:val="21"/>
        </w:rPr>
        <w:t xml:space="preserve">相等，如不相等，以“开标一览表”为准。</w:t>
      </w:r>
      <w:r/>
    </w:p>
    <w:p>
      <w:pPr>
        <w:ind w:firstLine="210"/>
        <w:jc w:val="left"/>
        <w:spacing w:line="360" w:lineRule="auto"/>
        <w:rPr>
          <w:rFonts w:ascii="宋体" w:hAnsi="宋体" w:eastAsia="宋体"/>
          <w:sz w:val="21"/>
          <w:szCs w:val="21"/>
        </w:rPr>
      </w:pPr>
      <w:r>
        <w:rPr>
          <w:rFonts w:hint="eastAsia" w:ascii="宋体" w:hAnsi="宋体" w:eastAsia="宋体"/>
          <w:sz w:val="21"/>
          <w:szCs w:val="21"/>
        </w:rPr>
        <w:t xml:space="preserve">投标单位（公章）：</w:t>
      </w:r>
      <w:r/>
    </w:p>
    <w:p>
      <w:pPr>
        <w:ind w:firstLine="210"/>
        <w:jc w:val="left"/>
        <w:spacing w:line="360" w:lineRule="auto"/>
        <w:rPr>
          <w:rFonts w:ascii="宋体" w:hAnsi="宋体" w:eastAsia="宋体"/>
          <w:sz w:val="21"/>
          <w:szCs w:val="21"/>
        </w:rPr>
      </w:pPr>
      <w:r>
        <w:rPr>
          <w:rFonts w:hint="eastAsia" w:ascii="宋体" w:hAnsi="宋体" w:eastAsia="宋体"/>
          <w:sz w:val="21"/>
          <w:szCs w:val="21"/>
        </w:rPr>
        <w:t xml:space="preserve">法定代表人或代理人：（签字或签章）</w:t>
      </w:r>
      <w:r/>
    </w:p>
    <w:p>
      <w:pPr>
        <w:ind w:firstLine="210"/>
        <w:jc w:val="left"/>
        <w:spacing w:line="360" w:lineRule="auto"/>
        <w:rPr>
          <w:rFonts w:ascii="宋体" w:hAnsi="宋体" w:eastAsia="宋体"/>
          <w:sz w:val="21"/>
          <w:szCs w:val="21"/>
        </w:rPr>
      </w:pPr>
      <w:r>
        <w:rPr>
          <w:rFonts w:hint="eastAsia" w:ascii="宋体" w:hAnsi="宋体" w:eastAsia="宋体"/>
          <w:sz w:val="21"/>
          <w:szCs w:val="21"/>
        </w:rPr>
        <w:t xml:space="preserve">日期：     年     月     日</w:t>
      </w:r>
      <w:r/>
    </w:p>
    <w:p>
      <w:pPr>
        <w:rPr>
          <w:rFonts w:hAnsi="宋体" w:eastAsia="宋体"/>
          <w:b/>
          <w:sz w:val="21"/>
          <w:szCs w:val="21"/>
        </w:rPr>
      </w:pPr>
      <w:r>
        <w:rPr>
          <w:rFonts w:ascii="宋体" w:hAnsi="宋体" w:eastAsia="宋体"/>
          <w:b/>
          <w:sz w:val="21"/>
          <w:szCs w:val="21"/>
        </w:rPr>
        <w:br w:type="page" w:clear="all"/>
      </w:r>
      <w:bookmarkStart w:id="43" w:name="_Toc492394294"/>
      <w:r>
        <w:rPr>
          <w:rFonts w:hint="eastAsia" w:hAnsi="宋体" w:eastAsia="宋体"/>
          <w:b/>
          <w:sz w:val="21"/>
          <w:szCs w:val="21"/>
        </w:rPr>
        <w:t xml:space="preserve">四、技术要求偏离表</w:t>
      </w:r>
      <w:r/>
    </w:p>
    <w:p>
      <w:pPr>
        <w:pStyle w:val="956"/>
        <w:jc w:val="center"/>
        <w:spacing w:line="360" w:lineRule="auto"/>
        <w:rPr>
          <w:rFonts w:hAnsi="宋体" w:eastAsia="宋体"/>
          <w:b/>
          <w:sz w:val="30"/>
          <w:szCs w:val="30"/>
        </w:rPr>
      </w:pPr>
      <w:r>
        <w:rPr>
          <w:rFonts w:hint="eastAsia" w:hAnsi="宋体" w:eastAsia="宋体"/>
          <w:b/>
          <w:sz w:val="30"/>
          <w:szCs w:val="30"/>
        </w:rPr>
        <w:t xml:space="preserve">技术要求偏离表</w:t>
      </w:r>
      <w:r/>
    </w:p>
    <w:tbl>
      <w:tblPr>
        <w:tblW w:w="9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108"/>
        <w:gridCol w:w="1752"/>
        <w:gridCol w:w="1699"/>
        <w:gridCol w:w="1757"/>
      </w:tblGrid>
      <w:tr>
        <w:trPr>
          <w:jc w:val="center"/>
        </w:trPr>
        <w:tc>
          <w:tcPr>
            <w:tcW w:w="828" w:type="dxa"/>
            <w:vAlign w:val="center"/>
            <w:textDirection w:val="lrTb"/>
            <w:noWrap w:val="false"/>
          </w:tcPr>
          <w:p>
            <w:pPr>
              <w:jc w:val="center"/>
              <w:spacing w:before="240" w:after="240"/>
              <w:widowControl/>
              <w:rPr>
                <w:rFonts w:ascii="宋体" w:hAnsi="宋体" w:eastAsia="宋体"/>
                <w:sz w:val="21"/>
                <w:szCs w:val="21"/>
              </w:rPr>
            </w:pPr>
            <w:r>
              <w:rPr>
                <w:rFonts w:hint="eastAsia" w:ascii="宋体" w:hAnsi="宋体" w:eastAsia="宋体"/>
                <w:sz w:val="21"/>
                <w:szCs w:val="21"/>
              </w:rPr>
              <w:t xml:space="preserve">序号</w:t>
            </w:r>
            <w:r/>
          </w:p>
        </w:tc>
        <w:tc>
          <w:tcPr>
            <w:tcW w:w="3108" w:type="dxa"/>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招标服务要求</w:t>
            </w:r>
            <w:r/>
          </w:p>
        </w:tc>
        <w:tc>
          <w:tcPr>
            <w:tcW w:w="1752" w:type="dxa"/>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投标服务要求</w:t>
            </w:r>
            <w:r/>
          </w:p>
        </w:tc>
        <w:tc>
          <w:tcPr>
            <w:tcW w:w="1699" w:type="dxa"/>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偏离/响应</w:t>
            </w:r>
            <w:r/>
          </w:p>
        </w:tc>
        <w:tc>
          <w:tcPr>
            <w:tcW w:w="1757" w:type="dxa"/>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说明</w:t>
            </w:r>
            <w:r/>
          </w:p>
        </w:tc>
      </w:tr>
      <w:tr>
        <w:trPr>
          <w:jc w:val="center"/>
        </w:trPr>
        <w:tc>
          <w:tcPr>
            <w:tcW w:w="828" w:type="dxa"/>
            <w:textDirection w:val="lrTb"/>
            <w:noWrap w:val="false"/>
          </w:tcPr>
          <w:p>
            <w:pPr>
              <w:jc w:val="left"/>
              <w:spacing w:before="240" w:after="240"/>
              <w:widowControl/>
              <w:rPr>
                <w:rFonts w:ascii="宋体" w:hAnsi="宋体" w:eastAsia="宋体"/>
                <w:sz w:val="21"/>
                <w:szCs w:val="21"/>
              </w:rPr>
            </w:pPr>
            <w:r>
              <w:rPr>
                <w:rFonts w:ascii="宋体" w:hAnsi="宋体" w:eastAsia="宋体"/>
                <w:sz w:val="21"/>
                <w:szCs w:val="21"/>
              </w:rPr>
            </w:r>
            <w:r/>
          </w:p>
        </w:tc>
        <w:tc>
          <w:tcPr>
            <w:tcW w:w="3108" w:type="dxa"/>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1752"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699"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7"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r>
      <w:tr>
        <w:trPr>
          <w:jc w:val="center"/>
        </w:trPr>
        <w:tc>
          <w:tcPr>
            <w:tcW w:w="828" w:type="dxa"/>
            <w:textDirection w:val="lrTb"/>
            <w:noWrap w:val="false"/>
          </w:tcPr>
          <w:p>
            <w:pPr>
              <w:jc w:val="left"/>
              <w:spacing w:before="240" w:after="240"/>
              <w:widowControl/>
              <w:rPr>
                <w:rFonts w:ascii="宋体" w:hAnsi="宋体" w:eastAsia="宋体"/>
                <w:sz w:val="21"/>
                <w:szCs w:val="21"/>
              </w:rPr>
            </w:pPr>
            <w:r>
              <w:rPr>
                <w:rFonts w:ascii="宋体" w:hAnsi="宋体" w:eastAsia="宋体"/>
                <w:sz w:val="21"/>
                <w:szCs w:val="21"/>
              </w:rPr>
            </w:r>
            <w:r/>
          </w:p>
        </w:tc>
        <w:tc>
          <w:tcPr>
            <w:tcW w:w="3108"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2"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699"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7"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r>
      <w:tr>
        <w:trPr>
          <w:jc w:val="center"/>
        </w:trPr>
        <w:tc>
          <w:tcPr>
            <w:tcW w:w="828" w:type="dxa"/>
            <w:textDirection w:val="lrTb"/>
            <w:noWrap w:val="false"/>
          </w:tcPr>
          <w:p>
            <w:pPr>
              <w:jc w:val="left"/>
              <w:spacing w:before="240" w:after="240"/>
              <w:widowControl/>
              <w:rPr>
                <w:rFonts w:ascii="宋体" w:hAnsi="宋体" w:eastAsia="宋体"/>
                <w:sz w:val="21"/>
                <w:szCs w:val="21"/>
              </w:rPr>
            </w:pPr>
            <w:r>
              <w:rPr>
                <w:rFonts w:ascii="宋体" w:hAnsi="宋体" w:eastAsia="宋体"/>
                <w:sz w:val="21"/>
                <w:szCs w:val="21"/>
              </w:rPr>
            </w:r>
            <w:r/>
          </w:p>
        </w:tc>
        <w:tc>
          <w:tcPr>
            <w:tcW w:w="3108"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2"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699"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7"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r>
      <w:tr>
        <w:trPr>
          <w:jc w:val="center"/>
        </w:trPr>
        <w:tc>
          <w:tcPr>
            <w:tcW w:w="828" w:type="dxa"/>
            <w:textDirection w:val="lrTb"/>
            <w:noWrap w:val="false"/>
          </w:tcPr>
          <w:p>
            <w:pPr>
              <w:jc w:val="left"/>
              <w:spacing w:before="240" w:after="240"/>
              <w:widowControl/>
              <w:rPr>
                <w:rFonts w:ascii="宋体" w:hAnsi="宋体" w:eastAsia="宋体"/>
                <w:sz w:val="21"/>
                <w:szCs w:val="21"/>
              </w:rPr>
            </w:pPr>
            <w:r>
              <w:rPr>
                <w:rFonts w:ascii="宋体" w:hAnsi="宋体" w:eastAsia="宋体"/>
                <w:sz w:val="21"/>
                <w:szCs w:val="21"/>
              </w:rPr>
            </w:r>
            <w:r/>
          </w:p>
        </w:tc>
        <w:tc>
          <w:tcPr>
            <w:tcW w:w="3108"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2"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699"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7"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r>
      <w:tr>
        <w:trPr>
          <w:jc w:val="center"/>
        </w:trPr>
        <w:tc>
          <w:tcPr>
            <w:tcW w:w="828" w:type="dxa"/>
            <w:textDirection w:val="lrTb"/>
            <w:noWrap w:val="false"/>
          </w:tcPr>
          <w:p>
            <w:pPr>
              <w:jc w:val="left"/>
              <w:spacing w:before="240" w:after="240"/>
              <w:widowControl/>
              <w:rPr>
                <w:rFonts w:ascii="宋体" w:hAnsi="宋体" w:eastAsia="宋体"/>
                <w:sz w:val="21"/>
                <w:szCs w:val="21"/>
              </w:rPr>
            </w:pPr>
            <w:r>
              <w:rPr>
                <w:rFonts w:ascii="宋体" w:hAnsi="宋体" w:eastAsia="宋体"/>
                <w:sz w:val="21"/>
                <w:szCs w:val="21"/>
              </w:rPr>
            </w:r>
            <w:r/>
          </w:p>
        </w:tc>
        <w:tc>
          <w:tcPr>
            <w:tcW w:w="3108"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2"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699"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7"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r>
      <w:tr>
        <w:trPr>
          <w:jc w:val="center"/>
        </w:trPr>
        <w:tc>
          <w:tcPr>
            <w:tcW w:w="828" w:type="dxa"/>
            <w:textDirection w:val="lrTb"/>
            <w:noWrap w:val="false"/>
          </w:tcPr>
          <w:p>
            <w:pPr>
              <w:jc w:val="left"/>
              <w:spacing w:before="240" w:after="240"/>
              <w:widowControl/>
              <w:rPr>
                <w:rFonts w:ascii="宋体" w:hAnsi="宋体" w:eastAsia="宋体"/>
                <w:sz w:val="21"/>
                <w:szCs w:val="21"/>
              </w:rPr>
            </w:pPr>
            <w:r>
              <w:rPr>
                <w:rFonts w:ascii="宋体" w:hAnsi="宋体" w:eastAsia="宋体"/>
                <w:sz w:val="21"/>
                <w:szCs w:val="21"/>
              </w:rPr>
            </w:r>
            <w:r/>
          </w:p>
        </w:tc>
        <w:tc>
          <w:tcPr>
            <w:tcW w:w="3108"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2"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699"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7"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r>
      <w:tr>
        <w:trPr>
          <w:jc w:val="center"/>
        </w:trPr>
        <w:tc>
          <w:tcPr>
            <w:tcW w:w="828" w:type="dxa"/>
            <w:textDirection w:val="lrTb"/>
            <w:noWrap w:val="false"/>
          </w:tcPr>
          <w:p>
            <w:pPr>
              <w:jc w:val="left"/>
              <w:spacing w:before="240" w:after="240"/>
              <w:widowControl/>
              <w:rPr>
                <w:rFonts w:ascii="宋体" w:hAnsi="宋体" w:eastAsia="宋体"/>
                <w:sz w:val="21"/>
                <w:szCs w:val="21"/>
              </w:rPr>
            </w:pPr>
            <w:r>
              <w:rPr>
                <w:rFonts w:ascii="宋体" w:hAnsi="宋体" w:eastAsia="宋体"/>
                <w:sz w:val="21"/>
                <w:szCs w:val="21"/>
              </w:rPr>
            </w:r>
            <w:r/>
          </w:p>
        </w:tc>
        <w:tc>
          <w:tcPr>
            <w:tcW w:w="3108"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2"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699"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7"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r>
      <w:tr>
        <w:trPr>
          <w:jc w:val="center"/>
        </w:trPr>
        <w:tc>
          <w:tcPr>
            <w:tcW w:w="828" w:type="dxa"/>
            <w:textDirection w:val="lrTb"/>
            <w:noWrap w:val="false"/>
          </w:tcPr>
          <w:p>
            <w:pPr>
              <w:jc w:val="left"/>
              <w:spacing w:before="240" w:after="240"/>
              <w:widowControl/>
              <w:rPr>
                <w:rFonts w:ascii="宋体" w:hAnsi="宋体" w:eastAsia="宋体"/>
                <w:sz w:val="21"/>
                <w:szCs w:val="21"/>
              </w:rPr>
            </w:pPr>
            <w:r>
              <w:rPr>
                <w:rFonts w:ascii="宋体" w:hAnsi="宋体" w:eastAsia="宋体"/>
                <w:sz w:val="21"/>
                <w:szCs w:val="21"/>
              </w:rPr>
            </w:r>
            <w:r/>
          </w:p>
        </w:tc>
        <w:tc>
          <w:tcPr>
            <w:tcW w:w="3108"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2"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699"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c>
          <w:tcPr>
            <w:tcW w:w="1757" w:type="dxa"/>
            <w:textDirection w:val="lrTb"/>
            <w:noWrap w:val="false"/>
          </w:tcPr>
          <w:p>
            <w:pPr>
              <w:jc w:val="left"/>
              <w:widowControl/>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hint="eastAsia" w:ascii="宋体" w:hAnsi="宋体" w:eastAsia="宋体"/>
          <w:sz w:val="21"/>
          <w:szCs w:val="21"/>
        </w:rPr>
        <w:t xml:space="preserve">注：1、投标单位应对照招标文件技术要求等要求，所投标的物与招标文件的规定有偏离的，应在此表中申明与技术要求条文的偏差和例外。</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p>
    <w:p>
      <w:pPr>
        <w:ind w:firstLine="420"/>
        <w:jc w:val="left"/>
        <w:spacing w:line="360" w:lineRule="auto"/>
        <w:rPr>
          <w:rFonts w:ascii="宋体" w:hAnsi="宋体" w:eastAsia="宋体"/>
          <w:sz w:val="21"/>
          <w:szCs w:val="21"/>
        </w:rPr>
      </w:pPr>
      <w:r>
        <w:rPr>
          <w:rFonts w:hint="eastAsia" w:ascii="宋体" w:hAnsi="宋体" w:eastAsia="宋体"/>
          <w:sz w:val="21"/>
          <w:szCs w:val="21"/>
        </w:rPr>
        <w:t xml:space="preserve">投标单位（公章）：</w:t>
      </w:r>
      <w:r/>
    </w:p>
    <w:p>
      <w:pPr>
        <w:ind w:firstLine="420"/>
        <w:jc w:val="left"/>
        <w:spacing w:line="360" w:lineRule="auto"/>
        <w:rPr>
          <w:rFonts w:ascii="宋体" w:hAnsi="宋体" w:eastAsia="宋体"/>
          <w:sz w:val="21"/>
          <w:szCs w:val="21"/>
        </w:rPr>
      </w:pPr>
      <w:r>
        <w:rPr>
          <w:rFonts w:hint="eastAsia" w:ascii="宋体" w:hAnsi="宋体" w:eastAsia="宋体"/>
          <w:sz w:val="21"/>
          <w:szCs w:val="21"/>
        </w:rPr>
        <w:t xml:space="preserve">法定代表人或代理人：（签字或签章）</w:t>
      </w:r>
      <w:r/>
    </w:p>
    <w:p>
      <w:pPr>
        <w:ind w:firstLine="420"/>
        <w:jc w:val="left"/>
        <w:spacing w:line="360" w:lineRule="auto"/>
        <w:rPr>
          <w:rFonts w:ascii="宋体" w:hAnsi="宋体" w:eastAsia="宋体"/>
          <w:sz w:val="21"/>
          <w:szCs w:val="21"/>
        </w:rPr>
      </w:pPr>
      <w:r>
        <w:rPr>
          <w:rFonts w:hint="eastAsia" w:ascii="宋体" w:hAnsi="宋体" w:eastAsia="宋体"/>
          <w:sz w:val="21"/>
          <w:szCs w:val="21"/>
        </w:rPr>
        <w:t xml:space="preserve">日期：     年     月     日</w:t>
      </w:r>
      <w:r/>
    </w:p>
    <w:p>
      <w:pPr>
        <w:pStyle w:val="950"/>
        <w:jc w:val="left"/>
        <w:spacing w:line="360" w:lineRule="auto"/>
        <w:rPr>
          <w:rFonts w:hAnsi="宋体" w:eastAsia="宋体"/>
          <w:b/>
          <w:sz w:val="21"/>
          <w:szCs w:val="21"/>
        </w:rPr>
      </w:pPr>
      <w:r>
        <w:rPr>
          <w:rFonts w:hint="eastAsia" w:hAnsi="宋体" w:eastAsia="宋体" w:cs="宋体"/>
          <w:b/>
          <w:bCs/>
          <w:sz w:val="21"/>
          <w:szCs w:val="21"/>
        </w:rPr>
        <w:br w:type="page" w:clear="all"/>
      </w:r>
      <w:r>
        <w:rPr>
          <w:rFonts w:hint="eastAsia" w:hAnsi="宋体" w:eastAsia="宋体"/>
          <w:b/>
          <w:sz w:val="21"/>
          <w:szCs w:val="21"/>
        </w:rPr>
        <w:t xml:space="preserve">五、商务条款偏离表</w:t>
      </w:r>
      <w:r/>
    </w:p>
    <w:p>
      <w:pPr>
        <w:jc w:val="center"/>
        <w:spacing w:line="360" w:lineRule="auto"/>
        <w:rPr>
          <w:rFonts w:ascii="宋体" w:hAnsi="宋体" w:eastAsia="宋体"/>
          <w:b/>
          <w:sz w:val="30"/>
          <w:szCs w:val="30"/>
        </w:rPr>
      </w:pPr>
      <w:r>
        <w:rPr>
          <w:rFonts w:hint="eastAsia" w:ascii="宋体" w:hAnsi="宋体" w:eastAsia="宋体"/>
          <w:b/>
          <w:sz w:val="30"/>
          <w:szCs w:val="30"/>
        </w:rPr>
        <w:t xml:space="preserve">商务条款偏离表</w:t>
      </w:r>
      <w:r/>
    </w:p>
    <w:tbl>
      <w:tblPr>
        <w:tblW w:w="7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31"/>
        <w:gridCol w:w="2282"/>
        <w:gridCol w:w="2232"/>
        <w:gridCol w:w="1259"/>
      </w:tblGrid>
      <w:tr>
        <w:trPr>
          <w:jc w:val="center"/>
          <w:trHeight w:val="551"/>
        </w:trPr>
        <w:tc>
          <w:tcPr>
            <w:tcW w:w="1431" w:type="dxa"/>
            <w:textDirection w:val="lrTb"/>
            <w:noWrap w:val="false"/>
          </w:tcPr>
          <w:p>
            <w:pPr>
              <w:jc w:val="center"/>
              <w:spacing w:before="190" w:line="360" w:lineRule="auto"/>
              <w:rPr>
                <w:rFonts w:ascii="宋体" w:hAnsi="宋体" w:eastAsia="宋体"/>
                <w:bCs/>
                <w:sz w:val="21"/>
                <w:szCs w:val="21"/>
                <w:lang w:val="zh-CN"/>
              </w:rPr>
            </w:pPr>
            <w:r>
              <w:rPr>
                <w:rFonts w:hint="eastAsia" w:ascii="宋体" w:hAnsi="宋体" w:eastAsia="宋体"/>
                <w:bCs/>
                <w:sz w:val="21"/>
                <w:szCs w:val="21"/>
                <w:lang w:val="zh-CN"/>
              </w:rPr>
              <w:t xml:space="preserve">序号</w:t>
            </w:r>
            <w:r/>
          </w:p>
        </w:tc>
        <w:tc>
          <w:tcPr>
            <w:tcW w:w="2282" w:type="dxa"/>
            <w:textDirection w:val="lrTb"/>
            <w:noWrap w:val="false"/>
          </w:tcPr>
          <w:p>
            <w:pPr>
              <w:jc w:val="center"/>
              <w:spacing w:before="190" w:line="360" w:lineRule="auto"/>
              <w:rPr>
                <w:rFonts w:ascii="宋体" w:hAnsi="宋体" w:eastAsia="宋体"/>
                <w:bCs/>
                <w:sz w:val="21"/>
                <w:szCs w:val="21"/>
                <w:lang w:val="zh-CN"/>
              </w:rPr>
            </w:pPr>
            <w:r>
              <w:rPr>
                <w:rFonts w:hint="eastAsia" w:ascii="宋体" w:hAnsi="宋体" w:eastAsia="宋体"/>
                <w:bCs/>
                <w:sz w:val="21"/>
                <w:szCs w:val="21"/>
                <w:lang w:val="zh-CN"/>
              </w:rPr>
              <w:t xml:space="preserve">招标文件的商务条款</w:t>
            </w:r>
            <w:r/>
          </w:p>
        </w:tc>
        <w:tc>
          <w:tcPr>
            <w:tcW w:w="2232" w:type="dxa"/>
            <w:textDirection w:val="lrTb"/>
            <w:noWrap w:val="false"/>
          </w:tcPr>
          <w:p>
            <w:pPr>
              <w:jc w:val="center"/>
              <w:spacing w:before="190" w:line="360" w:lineRule="auto"/>
              <w:rPr>
                <w:rFonts w:ascii="宋体" w:hAnsi="宋体" w:eastAsia="宋体"/>
                <w:bCs/>
                <w:sz w:val="21"/>
                <w:szCs w:val="21"/>
                <w:lang w:val="zh-CN"/>
              </w:rPr>
            </w:pPr>
            <w:r>
              <w:rPr>
                <w:rFonts w:hint="eastAsia" w:ascii="宋体" w:hAnsi="宋体" w:eastAsia="宋体"/>
                <w:bCs/>
                <w:sz w:val="21"/>
                <w:szCs w:val="21"/>
                <w:lang w:val="zh-CN"/>
              </w:rPr>
              <w:t xml:space="preserve">投标文件的商务条款</w:t>
            </w:r>
            <w:r/>
          </w:p>
        </w:tc>
        <w:tc>
          <w:tcPr>
            <w:tcW w:w="1259" w:type="dxa"/>
            <w:textDirection w:val="lrTb"/>
            <w:noWrap w:val="false"/>
          </w:tcPr>
          <w:p>
            <w:pPr>
              <w:jc w:val="center"/>
              <w:spacing w:before="190" w:line="360" w:lineRule="auto"/>
              <w:rPr>
                <w:rFonts w:ascii="宋体" w:hAnsi="宋体" w:eastAsia="宋体"/>
                <w:bCs/>
                <w:sz w:val="21"/>
                <w:szCs w:val="21"/>
                <w:lang w:val="zh-CN"/>
              </w:rPr>
            </w:pPr>
            <w:r>
              <w:rPr>
                <w:rFonts w:hint="eastAsia" w:ascii="宋体" w:hAnsi="宋体" w:eastAsia="宋体"/>
                <w:bCs/>
                <w:sz w:val="21"/>
                <w:szCs w:val="21"/>
                <w:lang w:val="zh-CN"/>
              </w:rPr>
              <w:t xml:space="preserve">说明</w:t>
            </w:r>
            <w:r/>
          </w:p>
        </w:tc>
      </w:tr>
      <w:tr>
        <w:trPr>
          <w:jc w:val="center"/>
          <w:trHeight w:val="573"/>
        </w:trPr>
        <w:tc>
          <w:tcPr>
            <w:tcW w:w="1431"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8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3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1259"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r>
      <w:tr>
        <w:trPr>
          <w:jc w:val="center"/>
          <w:trHeight w:val="553"/>
        </w:trPr>
        <w:tc>
          <w:tcPr>
            <w:tcW w:w="1431"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8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3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1259"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r>
      <w:tr>
        <w:trPr>
          <w:jc w:val="center"/>
          <w:trHeight w:val="547"/>
        </w:trPr>
        <w:tc>
          <w:tcPr>
            <w:tcW w:w="1431"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8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3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1259"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r>
      <w:tr>
        <w:trPr>
          <w:jc w:val="center"/>
          <w:trHeight w:val="480"/>
        </w:trPr>
        <w:tc>
          <w:tcPr>
            <w:tcW w:w="1431"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8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3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1259"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r>
      <w:tr>
        <w:trPr>
          <w:jc w:val="center"/>
          <w:trHeight w:val="633"/>
        </w:trPr>
        <w:tc>
          <w:tcPr>
            <w:tcW w:w="1431"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8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3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1259"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r>
      <w:tr>
        <w:trPr>
          <w:jc w:val="center"/>
          <w:trHeight w:val="571"/>
        </w:trPr>
        <w:tc>
          <w:tcPr>
            <w:tcW w:w="1431"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8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2232"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c>
          <w:tcPr>
            <w:tcW w:w="1259" w:type="dxa"/>
            <w:textDirection w:val="lrTb"/>
            <w:noWrap w:val="false"/>
          </w:tcPr>
          <w:p>
            <w:pPr>
              <w:jc w:val="center"/>
              <w:spacing w:line="360" w:lineRule="auto"/>
              <w:rPr>
                <w:rFonts w:ascii="宋体" w:hAnsi="宋体" w:eastAsia="宋体"/>
                <w:b/>
                <w:bCs/>
                <w:sz w:val="21"/>
                <w:szCs w:val="21"/>
                <w:lang w:val="zh-CN"/>
              </w:rPr>
            </w:pPr>
            <w:r>
              <w:rPr>
                <w:rFonts w:ascii="宋体" w:hAnsi="宋体" w:eastAsia="宋体"/>
                <w:b/>
                <w:bCs/>
                <w:sz w:val="21"/>
                <w:szCs w:val="21"/>
                <w:lang w:val="zh-CN"/>
              </w:rPr>
            </w:r>
            <w:r/>
          </w:p>
        </w:tc>
      </w:tr>
    </w:tbl>
    <w:p>
      <w:pPr>
        <w:jc w:val="left"/>
        <w:spacing w:line="360" w:lineRule="auto"/>
        <w:rPr>
          <w:rFonts w:ascii="宋体" w:hAnsi="宋体" w:eastAsia="宋体"/>
          <w:b/>
          <w:bCs/>
          <w:sz w:val="21"/>
          <w:szCs w:val="21"/>
          <w:lang w:val="zh-CN"/>
        </w:rPr>
      </w:pPr>
      <w:r>
        <w:rPr>
          <w:rFonts w:ascii="宋体" w:hAnsi="宋体" w:eastAsia="宋体"/>
          <w:b/>
          <w:bCs/>
          <w:sz w:val="21"/>
          <w:szCs w:val="21"/>
          <w:lang w:val="zh-CN"/>
        </w:rPr>
      </w:r>
      <w:r/>
    </w:p>
    <w:p>
      <w:pPr>
        <w:jc w:val="left"/>
        <w:spacing w:line="360" w:lineRule="auto"/>
        <w:rPr>
          <w:rFonts w:ascii="宋体" w:hAnsi="宋体" w:eastAsia="宋体"/>
          <w:b/>
          <w:bCs/>
          <w:sz w:val="21"/>
          <w:szCs w:val="21"/>
          <w:lang w:val="zh-CN"/>
        </w:rPr>
      </w:pPr>
      <w:r>
        <w:rPr>
          <w:rFonts w:ascii="宋体" w:hAnsi="宋体" w:eastAsia="宋体"/>
          <w:b/>
          <w:bCs/>
          <w:sz w:val="21"/>
          <w:szCs w:val="21"/>
          <w:lang w:val="zh-CN"/>
        </w:rPr>
      </w:r>
      <w:r/>
    </w:p>
    <w:p>
      <w:pPr>
        <w:spacing w:line="360" w:lineRule="auto"/>
        <w:rPr>
          <w:rFonts w:ascii="宋体" w:hAnsi="宋体" w:eastAsia="宋体"/>
          <w:sz w:val="21"/>
          <w:szCs w:val="21"/>
        </w:rPr>
      </w:pPr>
      <w:r>
        <w:rPr>
          <w:rFonts w:hint="eastAsia" w:ascii="宋体" w:hAnsi="宋体" w:eastAsia="宋体"/>
          <w:sz w:val="21"/>
          <w:szCs w:val="21"/>
        </w:rPr>
        <w:t xml:space="preserve">投标单位（公章）：</w:t>
      </w:r>
      <w:r/>
    </w:p>
    <w:p>
      <w:pPr>
        <w:spacing w:line="360" w:lineRule="auto"/>
        <w:rPr>
          <w:rFonts w:ascii="宋体" w:hAnsi="宋体" w:eastAsia="宋体"/>
          <w:sz w:val="21"/>
          <w:szCs w:val="21"/>
        </w:rPr>
      </w:pPr>
      <w:r>
        <w:rPr>
          <w:rFonts w:hint="eastAsia" w:ascii="宋体" w:hAnsi="宋体" w:eastAsia="宋体"/>
          <w:sz w:val="21"/>
          <w:szCs w:val="21"/>
        </w:rPr>
        <w:t xml:space="preserve">法定代表人或代理人：（签字或签章）</w:t>
      </w:r>
      <w:r/>
    </w:p>
    <w:p>
      <w:pPr>
        <w:rPr>
          <w:rFonts w:ascii="宋体" w:hAnsi="宋体" w:eastAsia="宋体"/>
          <w:sz w:val="21"/>
          <w:szCs w:val="21"/>
        </w:rPr>
      </w:pPr>
      <w:r>
        <w:rPr>
          <w:rFonts w:hint="eastAsia" w:ascii="宋体" w:hAnsi="宋体" w:eastAsia="宋体"/>
          <w:sz w:val="21"/>
          <w:szCs w:val="21"/>
        </w:rPr>
        <w:t xml:space="preserve">日期：年月日</w:t>
      </w:r>
      <w:r/>
    </w:p>
    <w:p>
      <w:pPr>
        <w:jc w:val="left"/>
        <w:spacing w:line="360" w:lineRule="auto"/>
        <w:rPr>
          <w:rFonts w:ascii="宋体" w:hAnsi="宋体" w:eastAsia="宋体"/>
          <w:b/>
          <w:bCs/>
          <w:sz w:val="21"/>
          <w:szCs w:val="21"/>
        </w:rPr>
      </w:pPr>
      <w:r>
        <w:rPr>
          <w:rFonts w:ascii="宋体" w:hAnsi="宋体" w:eastAsia="宋体"/>
          <w:b/>
          <w:bCs/>
          <w:sz w:val="21"/>
          <w:szCs w:val="21"/>
        </w:rPr>
      </w:r>
      <w:r/>
    </w:p>
    <w:p>
      <w:pPr>
        <w:jc w:val="left"/>
        <w:spacing w:line="360" w:lineRule="auto"/>
        <w:rPr>
          <w:rFonts w:ascii="宋体" w:hAnsi="宋体" w:eastAsia="宋体"/>
          <w:b/>
          <w:bCs/>
          <w:sz w:val="21"/>
          <w:szCs w:val="21"/>
        </w:rPr>
      </w:pPr>
      <w:r>
        <w:rPr>
          <w:rFonts w:ascii="宋体" w:hAnsi="宋体" w:eastAsia="宋体"/>
          <w:b/>
          <w:bCs/>
          <w:sz w:val="21"/>
          <w:szCs w:val="21"/>
        </w:rPr>
      </w:r>
      <w:r/>
    </w:p>
    <w:p>
      <w:pPr>
        <w:jc w:val="left"/>
        <w:spacing w:line="360" w:lineRule="auto"/>
        <w:widowControl/>
        <w:rPr>
          <w:rFonts w:ascii="宋体" w:hAnsi="宋体" w:eastAsia="宋体"/>
          <w:sz w:val="21"/>
          <w:szCs w:val="21"/>
        </w:rPr>
      </w:pPr>
      <w:r>
        <w:rPr>
          <w:rFonts w:ascii="宋体" w:hAnsi="宋体" w:eastAsia="宋体"/>
          <w:sz w:val="21"/>
          <w:szCs w:val="21"/>
        </w:rPr>
      </w:r>
      <w:r/>
    </w:p>
    <w:p>
      <w:pPr>
        <w:pStyle w:val="1147"/>
        <w:spacing w:line="360" w:lineRule="auto"/>
        <w:rPr>
          <w:rFonts w:hAnsi="宋体" w:eastAsia="宋体"/>
          <w:sz w:val="21"/>
          <w:szCs w:val="21"/>
        </w:rPr>
      </w:pPr>
      <w:r>
        <w:rPr>
          <w:rFonts w:hint="eastAsia" w:hAnsi="宋体" w:eastAsia="宋体"/>
          <w:sz w:val="21"/>
          <w:szCs w:val="21"/>
        </w:rPr>
        <w:t xml:space="preserve">注：投标单位的投标文件（除技术要求部分）与招标文件规定的有偏离的，应在此表中说明，但该表不作为投标单位对所投标的物关于商务条款等详细描述和说明的替代。未在上表中说明的，将被认为完全响应招标文件的规定。</w:t>
      </w:r>
      <w:r/>
    </w:p>
    <w:p>
      <w:pPr>
        <w:pStyle w:val="950"/>
        <w:jc w:val="left"/>
        <w:spacing w:line="360" w:lineRule="auto"/>
        <w:rPr>
          <w:rFonts w:hAnsi="宋体" w:eastAsia="宋体"/>
          <w:b/>
          <w:sz w:val="21"/>
          <w:szCs w:val="21"/>
        </w:rPr>
      </w:pPr>
      <w:r>
        <w:rPr>
          <w:rFonts w:hint="eastAsia" w:hAnsi="宋体" w:eastAsia="宋体"/>
          <w:b/>
          <w:sz w:val="21"/>
          <w:szCs w:val="21"/>
        </w:rPr>
        <w:br w:type="page" w:clear="all"/>
      </w:r>
      <w:r>
        <w:rPr>
          <w:rFonts w:hint="eastAsia" w:hAnsi="宋体" w:eastAsia="宋体"/>
          <w:b/>
          <w:sz w:val="21"/>
          <w:szCs w:val="21"/>
        </w:rPr>
        <w:t xml:space="preserve">六、资格证明文件</w:t>
      </w:r>
      <w:bookmarkEnd w:id="42"/>
      <w:r/>
      <w:bookmarkEnd w:id="43"/>
      <w:r/>
      <w:r/>
    </w:p>
    <w:p>
      <w:pPr>
        <w:pStyle w:val="950"/>
        <w:jc w:val="left"/>
        <w:spacing w:line="360" w:lineRule="auto"/>
        <w:rPr>
          <w:rFonts w:hAnsi="宋体" w:eastAsia="宋体"/>
          <w:b/>
          <w:sz w:val="21"/>
          <w:szCs w:val="21"/>
        </w:rPr>
      </w:pPr>
      <w:r>
        <w:rPr>
          <w:rFonts w:hint="eastAsia" w:hAnsi="宋体" w:eastAsia="宋体"/>
          <w:b/>
          <w:sz w:val="21"/>
          <w:szCs w:val="21"/>
        </w:rPr>
        <w:t xml:space="preserve">1、关于资格文件的声明函</w:t>
      </w:r>
      <w:r/>
    </w:p>
    <w:p>
      <w:pPr>
        <w:pStyle w:val="716"/>
        <w:ind w:firstLine="0"/>
        <w:jc w:val="center"/>
        <w:spacing w:line="360" w:lineRule="auto"/>
        <w:rPr>
          <w:rFonts w:ascii="宋体" w:hAnsi="宋体" w:eastAsia="宋体"/>
          <w:b/>
          <w:sz w:val="21"/>
          <w:szCs w:val="21"/>
        </w:rPr>
      </w:pPr>
      <w:r>
        <w:rPr>
          <w:rFonts w:ascii="宋体" w:hAnsi="宋体" w:eastAsia="宋体"/>
          <w:b/>
          <w:sz w:val="21"/>
          <w:szCs w:val="21"/>
        </w:rPr>
      </w:r>
      <w:r/>
    </w:p>
    <w:p>
      <w:pPr>
        <w:pStyle w:val="716"/>
        <w:ind w:firstLine="0"/>
        <w:jc w:val="center"/>
        <w:spacing w:line="360" w:lineRule="auto"/>
        <w:rPr>
          <w:rFonts w:ascii="宋体" w:hAnsi="宋体" w:eastAsia="宋体"/>
          <w:b/>
          <w:bCs/>
          <w:sz w:val="30"/>
          <w:szCs w:val="30"/>
        </w:rPr>
      </w:pPr>
      <w:r>
        <w:rPr>
          <w:rFonts w:hint="eastAsia" w:ascii="宋体" w:hAnsi="宋体" w:eastAsia="宋体"/>
          <w:b/>
          <w:bCs/>
          <w:sz w:val="30"/>
          <w:szCs w:val="30"/>
        </w:rPr>
        <w:t xml:space="preserve">关于资格文件的声明函</w:t>
      </w:r>
      <w:r/>
    </w:p>
    <w:p>
      <w:pPr>
        <w:pStyle w:val="716"/>
        <w:ind w:firstLine="0"/>
        <w:jc w:val="cente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hint="eastAsia" w:ascii="宋体" w:hAnsi="宋体" w:eastAsia="宋体"/>
          <w:sz w:val="21"/>
          <w:szCs w:val="21"/>
          <w:u w:val="single"/>
          <w:lang w:val="zh-CN"/>
        </w:rPr>
        <w:t xml:space="preserve">苏州公正建设咨询房地产评估有限公司</w:t>
      </w:r>
      <w:r>
        <w:rPr>
          <w:rFonts w:hint="eastAsia" w:ascii="宋体" w:hAnsi="宋体" w:eastAsia="宋体"/>
          <w:sz w:val="21"/>
          <w:szCs w:val="21"/>
          <w:lang w:val="zh-CN"/>
        </w:rPr>
        <w:t xml:space="preserve">：</w:t>
      </w:r>
      <w:r/>
    </w:p>
    <w:p>
      <w:pPr>
        <w:pStyle w:val="716"/>
        <w:jc w:val="both"/>
        <w:spacing w:line="360" w:lineRule="auto"/>
        <w:rPr>
          <w:rFonts w:ascii="宋体" w:hAnsi="宋体" w:eastAsia="宋体"/>
          <w:sz w:val="21"/>
          <w:szCs w:val="21"/>
        </w:rPr>
      </w:pPr>
      <w:r>
        <w:rPr>
          <w:rFonts w:hint="eastAsia" w:ascii="宋体" w:hAnsi="宋体" w:eastAsia="宋体"/>
          <w:sz w:val="21"/>
          <w:szCs w:val="21"/>
          <w:lang w:val="zh-CN"/>
        </w:rPr>
        <w:t xml:space="preserve">本公司愿就由贵公司组织实施的编号为</w:t>
      </w:r>
      <w:r>
        <w:rPr>
          <w:rFonts w:ascii="宋体" w:hAnsi="宋体" w:eastAsia="宋体"/>
          <w:b/>
          <w:sz w:val="21"/>
          <w:szCs w:val="21"/>
          <w:u w:val="single"/>
          <w:lang w:val="zh-CN"/>
        </w:rPr>
        <w:t xml:space="preserve">                </w:t>
      </w:r>
      <w:r>
        <w:rPr>
          <w:rFonts w:hint="eastAsia" w:ascii="宋体" w:hAnsi="宋体" w:eastAsia="宋体"/>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pStyle w:val="716"/>
        <w:jc w:val="both"/>
        <w:spacing w:line="360" w:lineRule="auto"/>
        <w:rPr>
          <w:rFonts w:ascii="宋体" w:hAnsi="宋体" w:eastAsia="宋体"/>
          <w:sz w:val="21"/>
          <w:szCs w:val="21"/>
        </w:rPr>
      </w:pPr>
      <w:r>
        <w:rPr>
          <w:rFonts w:ascii="宋体" w:hAnsi="宋体" w:eastAsia="宋体"/>
          <w:sz w:val="21"/>
          <w:szCs w:val="21"/>
        </w:rPr>
      </w:r>
      <w:r/>
    </w:p>
    <w:p>
      <w:pPr>
        <w:pStyle w:val="716"/>
        <w:jc w:val="both"/>
        <w:spacing w:line="360" w:lineRule="auto"/>
        <w:rPr>
          <w:rFonts w:ascii="宋体" w:hAnsi="宋体" w:eastAsia="宋体"/>
          <w:sz w:val="21"/>
          <w:szCs w:val="21"/>
        </w:rPr>
      </w:pPr>
      <w:r>
        <w:rPr>
          <w:rFonts w:ascii="宋体" w:hAnsi="宋体" w:eastAsia="宋体"/>
          <w:sz w:val="21"/>
          <w:szCs w:val="21"/>
        </w:rPr>
      </w:r>
      <w:r/>
    </w:p>
    <w:p>
      <w:pPr>
        <w:pStyle w:val="716"/>
        <w:jc w:val="both"/>
        <w:spacing w:line="360" w:lineRule="auto"/>
        <w:rPr>
          <w:rFonts w:ascii="宋体" w:hAnsi="宋体" w:eastAsia="宋体"/>
          <w:sz w:val="21"/>
          <w:szCs w:val="21"/>
        </w:rPr>
      </w:pPr>
      <w:r>
        <w:rPr>
          <w:rFonts w:ascii="宋体" w:hAnsi="宋体" w:eastAsia="宋体"/>
          <w:sz w:val="21"/>
          <w:szCs w:val="21"/>
        </w:rPr>
      </w:r>
      <w:r/>
    </w:p>
    <w:p>
      <w:pPr>
        <w:pStyle w:val="716"/>
        <w:jc w:val="both"/>
        <w:spacing w:line="360" w:lineRule="auto"/>
        <w:rPr>
          <w:rFonts w:ascii="宋体" w:hAnsi="宋体" w:eastAsia="宋体"/>
          <w:sz w:val="21"/>
          <w:szCs w:val="21"/>
        </w:rPr>
      </w:pPr>
      <w:r>
        <w:rPr>
          <w:rFonts w:ascii="宋体" w:hAnsi="宋体" w:eastAsia="宋体"/>
          <w:sz w:val="21"/>
          <w:szCs w:val="21"/>
        </w:rPr>
      </w:r>
      <w:r/>
    </w:p>
    <w:p>
      <w:pPr>
        <w:pStyle w:val="716"/>
        <w:ind w:left="2800"/>
        <w:jc w:val="both"/>
        <w:spacing w:line="360" w:lineRule="auto"/>
        <w:rPr>
          <w:rFonts w:ascii="宋体" w:hAnsi="宋体" w:eastAsia="宋体"/>
          <w:sz w:val="21"/>
          <w:szCs w:val="21"/>
        </w:rPr>
      </w:pPr>
      <w:r>
        <w:rPr>
          <w:rFonts w:hint="eastAsia" w:ascii="宋体" w:hAnsi="宋体" w:eastAsia="宋体"/>
          <w:sz w:val="21"/>
          <w:szCs w:val="21"/>
        </w:rPr>
        <w:t xml:space="preserve">投标人（盖章）：</w:t>
      </w:r>
      <w:r/>
    </w:p>
    <w:p>
      <w:pPr>
        <w:pStyle w:val="716"/>
        <w:ind w:left="2800"/>
        <w:jc w:val="both"/>
        <w:spacing w:line="360" w:lineRule="auto"/>
        <w:rPr>
          <w:rFonts w:ascii="宋体" w:hAnsi="宋体" w:eastAsia="宋体"/>
          <w:sz w:val="21"/>
          <w:szCs w:val="21"/>
        </w:rPr>
      </w:pPr>
      <w:r>
        <w:rPr>
          <w:rFonts w:hint="eastAsia" w:ascii="宋体" w:hAnsi="宋体" w:eastAsia="宋体"/>
          <w:sz w:val="21"/>
          <w:szCs w:val="21"/>
        </w:rPr>
        <w:t xml:space="preserve">投标人法定代表或其授权人：（签字或盖章）：</w:t>
      </w:r>
      <w:r/>
    </w:p>
    <w:p>
      <w:pPr>
        <w:pStyle w:val="716"/>
        <w:ind w:left="2800"/>
        <w:jc w:val="both"/>
        <w:spacing w:line="360" w:lineRule="auto"/>
        <w:rPr>
          <w:rFonts w:ascii="宋体" w:hAnsi="宋体" w:eastAsia="宋体"/>
          <w:sz w:val="21"/>
          <w:szCs w:val="21"/>
        </w:rPr>
      </w:pPr>
      <w:r>
        <w:rPr>
          <w:rFonts w:hint="eastAsia" w:ascii="宋体" w:hAnsi="宋体" w:eastAsia="宋体"/>
          <w:sz w:val="21"/>
          <w:szCs w:val="21"/>
        </w:rPr>
        <w:t xml:space="preserve">日期：年    月    日</w:t>
      </w:r>
      <w:r/>
    </w:p>
    <w:p>
      <w:pPr>
        <w:pStyle w:val="950"/>
        <w:jc w:val="left"/>
        <w:spacing w:line="360" w:lineRule="auto"/>
        <w:rPr>
          <w:rFonts w:hAnsi="宋体" w:eastAsia="宋体"/>
          <w:b/>
          <w:sz w:val="21"/>
          <w:szCs w:val="21"/>
        </w:rPr>
      </w:pPr>
      <w:r>
        <w:rPr>
          <w:rFonts w:hint="eastAsia" w:hAnsi="宋体" w:eastAsia="宋体"/>
          <w:sz w:val="21"/>
          <w:szCs w:val="21"/>
        </w:rPr>
        <w:br w:type="page" w:clear="all"/>
      </w:r>
      <w:r>
        <w:rPr>
          <w:rFonts w:hint="eastAsia" w:hAnsi="宋体" w:eastAsia="宋体"/>
          <w:b/>
          <w:sz w:val="21"/>
          <w:szCs w:val="21"/>
        </w:rPr>
        <w:t xml:space="preserve">2、投标人情况表</w:t>
      </w:r>
      <w:r/>
    </w:p>
    <w:p>
      <w:pPr>
        <w:pStyle w:val="716"/>
        <w:ind w:firstLine="0"/>
        <w:jc w:val="center"/>
        <w:rPr>
          <w:rFonts w:ascii="宋体" w:hAnsi="宋体" w:eastAsia="宋体"/>
          <w:b/>
          <w:sz w:val="30"/>
          <w:szCs w:val="30"/>
        </w:rPr>
      </w:pPr>
      <w:r>
        <w:rPr>
          <w:rFonts w:hint="eastAsia" w:ascii="宋体" w:hAnsi="宋体" w:eastAsia="宋体"/>
          <w:b/>
          <w:sz w:val="30"/>
          <w:szCs w:val="30"/>
        </w:rPr>
        <w:t xml:space="preserve">供应商情况表</w:t>
      </w:r>
      <w:r/>
    </w:p>
    <w:p>
      <w:pPr>
        <w:pStyle w:val="716"/>
        <w:rPr>
          <w:rFonts w:ascii="宋体" w:hAnsi="宋体" w:eastAsia="宋体"/>
          <w:sz w:val="21"/>
          <w:szCs w:val="21"/>
        </w:rPr>
      </w:pPr>
      <w:r>
        <w:rPr>
          <w:rFonts w:ascii="宋体" w:hAnsi="宋体" w:eastAsia="宋体"/>
          <w:sz w:val="21"/>
          <w:szCs w:val="21"/>
        </w:rPr>
      </w:r>
      <w:r/>
    </w:p>
    <w:p>
      <w:pPr>
        <w:pStyle w:val="716"/>
        <w:rPr>
          <w:rFonts w:ascii="宋体" w:hAnsi="宋体" w:eastAsia="宋体"/>
          <w:b/>
          <w:sz w:val="21"/>
          <w:szCs w:val="21"/>
        </w:rPr>
      </w:pPr>
      <w:r>
        <w:rPr>
          <w:rFonts w:ascii="宋体" w:hAnsi="宋体" w:eastAsia="宋体"/>
          <w:b/>
          <w:sz w:val="21"/>
          <w:szCs w:val="21"/>
        </w:rPr>
      </w:r>
      <w:r/>
    </w:p>
    <w:tbl>
      <w:tblPr>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法定代表人（负责人）</w:t>
            </w:r>
            <w:r/>
          </w:p>
        </w:tc>
        <w:tc>
          <w:tcPr>
            <w:tcW w:w="2268"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c>
          <w:tcPr>
            <w:tcW w:w="1559" w:type="dxa"/>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成立日期</w:t>
            </w:r>
            <w:r/>
          </w:p>
        </w:tc>
        <w:tc>
          <w:tcPr>
            <w:tcW w:w="2694"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470"/>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注册地址</w:t>
            </w:r>
            <w:r/>
          </w:p>
        </w:tc>
        <w:tc>
          <w:tcPr>
            <w:tcW w:w="2268"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c>
          <w:tcPr>
            <w:tcW w:w="1559" w:type="dxa"/>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注册资金</w:t>
            </w:r>
            <w:r/>
          </w:p>
        </w:tc>
        <w:tc>
          <w:tcPr>
            <w:tcW w:w="2694" w:type="dxa"/>
            <w:textDirection w:val="lrTb"/>
            <w:noWrap w:val="false"/>
          </w:tcPr>
          <w:p>
            <w:pPr>
              <w:pStyle w:val="716"/>
              <w:ind w:firstLine="2160"/>
              <w:rPr>
                <w:rFonts w:ascii="宋体" w:hAnsi="宋体" w:eastAsia="宋体"/>
                <w:sz w:val="21"/>
                <w:szCs w:val="21"/>
              </w:rPr>
            </w:pPr>
            <w:r>
              <w:rPr>
                <w:rFonts w:ascii="宋体" w:hAnsi="宋体" w:eastAsia="宋体"/>
                <w:sz w:val="21"/>
                <w:szCs w:val="21"/>
              </w:rPr>
            </w:r>
            <w:r/>
          </w:p>
        </w:tc>
      </w:tr>
      <w:tr>
        <w:trPr>
          <w:cantSplit/>
          <w:jc w:val="center"/>
          <w:trHeight w:val="492"/>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经营范围</w:t>
            </w:r>
            <w:r/>
          </w:p>
        </w:tc>
        <w:tc>
          <w:tcPr>
            <w:gridSpan w:val="3"/>
            <w:tcW w:w="6521"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572"/>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企业资质等级</w:t>
            </w:r>
            <w:r/>
          </w:p>
        </w:tc>
        <w:tc>
          <w:tcPr>
            <w:tcW w:w="2268" w:type="dxa"/>
            <w:vAlign w:val="bottom"/>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c>
          <w:tcPr>
            <w:tcW w:w="1559"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员工总人数</w:t>
            </w:r>
            <w:r/>
          </w:p>
        </w:tc>
        <w:tc>
          <w:tcPr>
            <w:tcW w:w="2694" w:type="dxa"/>
            <w:vAlign w:val="bottom"/>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570"/>
        </w:trPr>
        <w:tc>
          <w:tcPr>
            <w:tcW w:w="2552" w:type="dxa"/>
            <w:vAlign w:val="center"/>
            <w:textDirection w:val="lrTb"/>
            <w:noWrap w:val="false"/>
          </w:tcPr>
          <w:p>
            <w:pPr>
              <w:pStyle w:val="716"/>
              <w:ind w:firstLine="0"/>
              <w:jc w:val="center"/>
              <w:rPr>
                <w:rFonts w:ascii="宋体" w:hAnsi="宋体" w:eastAsia="宋体"/>
                <w:sz w:val="21"/>
                <w:szCs w:val="21"/>
              </w:rPr>
            </w:pPr>
            <w:r>
              <w:rPr>
                <w:rFonts w:hint="eastAsia" w:ascii="宋体" w:hAnsi="宋体" w:eastAsia="宋体"/>
                <w:sz w:val="21"/>
                <w:szCs w:val="21"/>
              </w:rPr>
              <w:t xml:space="preserve">资产总计</w:t>
            </w:r>
            <w:r/>
          </w:p>
        </w:tc>
        <w:tc>
          <w:tcPr>
            <w:tcW w:w="2268" w:type="dxa"/>
            <w:vAlign w:val="center"/>
            <w:textDirection w:val="lrTb"/>
            <w:noWrap w:val="false"/>
          </w:tcPr>
          <w:p>
            <w:pPr>
              <w:pStyle w:val="716"/>
              <w:ind w:firstLine="1155"/>
              <w:jc w:val="center"/>
              <w:rPr>
                <w:rFonts w:ascii="宋体" w:hAnsi="宋体" w:eastAsia="宋体"/>
                <w:sz w:val="21"/>
                <w:szCs w:val="21"/>
              </w:rPr>
            </w:pPr>
            <w:r>
              <w:rPr>
                <w:rFonts w:hint="eastAsia" w:ascii="宋体" w:hAnsi="宋体" w:eastAsia="宋体"/>
                <w:sz w:val="21"/>
                <w:szCs w:val="21"/>
              </w:rPr>
              <w:t xml:space="preserve">万元</w:t>
            </w:r>
            <w:r/>
          </w:p>
        </w:tc>
        <w:tc>
          <w:tcPr>
            <w:tcW w:w="1559" w:type="dxa"/>
            <w:vAlign w:val="center"/>
            <w:textDirection w:val="lrTb"/>
            <w:noWrap w:val="false"/>
          </w:tcPr>
          <w:p>
            <w:pPr>
              <w:pStyle w:val="716"/>
              <w:ind w:firstLine="0"/>
              <w:jc w:val="center"/>
              <w:rPr>
                <w:rFonts w:ascii="宋体" w:hAnsi="宋体" w:eastAsia="宋体"/>
                <w:sz w:val="21"/>
                <w:szCs w:val="21"/>
              </w:rPr>
            </w:pPr>
            <w:r>
              <w:rPr>
                <w:rFonts w:hint="eastAsia" w:ascii="宋体" w:hAnsi="宋体" w:eastAsia="宋体"/>
                <w:sz w:val="21"/>
                <w:szCs w:val="21"/>
              </w:rPr>
              <w:t xml:space="preserve">营业收入</w:t>
            </w:r>
            <w:r/>
          </w:p>
        </w:tc>
        <w:tc>
          <w:tcPr>
            <w:tcW w:w="2694" w:type="dxa"/>
            <w:vAlign w:val="center"/>
            <w:textDirection w:val="lrTb"/>
            <w:noWrap w:val="false"/>
          </w:tcPr>
          <w:p>
            <w:pPr>
              <w:pStyle w:val="716"/>
              <w:ind w:firstLine="315"/>
              <w:jc w:val="center"/>
              <w:rPr>
                <w:rFonts w:ascii="宋体" w:hAnsi="宋体" w:eastAsia="宋体"/>
                <w:sz w:val="21"/>
                <w:szCs w:val="21"/>
              </w:rPr>
            </w:pPr>
            <w:r>
              <w:rPr>
                <w:rFonts w:hint="eastAsia" w:ascii="宋体" w:hAnsi="宋体" w:eastAsia="宋体"/>
                <w:sz w:val="21"/>
                <w:szCs w:val="21"/>
              </w:rPr>
              <w:t xml:space="preserve">年   万元</w:t>
            </w:r>
            <w:r/>
          </w:p>
        </w:tc>
      </w:tr>
      <w:tr>
        <w:trPr>
          <w:cantSplit/>
          <w:jc w:val="center"/>
        </w:trPr>
        <w:tc>
          <w:tcPr>
            <w:tcW w:w="2552" w:type="dxa"/>
            <w:vAlign w:val="center"/>
            <w:textDirection w:val="lrTb"/>
            <w:noWrap w:val="false"/>
          </w:tcPr>
          <w:p>
            <w:pPr>
              <w:pStyle w:val="716"/>
              <w:ind w:firstLine="0"/>
              <w:jc w:val="center"/>
              <w:rPr>
                <w:rFonts w:ascii="宋体" w:hAnsi="宋体" w:eastAsia="宋体"/>
                <w:sz w:val="21"/>
                <w:szCs w:val="21"/>
              </w:rPr>
            </w:pPr>
            <w:r>
              <w:rPr>
                <w:rFonts w:hint="eastAsia" w:ascii="宋体" w:hAnsi="宋体" w:eastAsia="宋体"/>
                <w:sz w:val="21"/>
                <w:szCs w:val="21"/>
              </w:rPr>
              <w:t xml:space="preserve">实现利润</w:t>
            </w:r>
            <w:r/>
          </w:p>
        </w:tc>
        <w:tc>
          <w:tcPr>
            <w:tcW w:w="2268" w:type="dxa"/>
            <w:vAlign w:val="center"/>
            <w:textDirection w:val="lrTb"/>
            <w:noWrap w:val="false"/>
          </w:tcPr>
          <w:p>
            <w:pPr>
              <w:pStyle w:val="716"/>
              <w:ind w:firstLine="0"/>
              <w:jc w:val="center"/>
              <w:rPr>
                <w:rFonts w:ascii="宋体" w:hAnsi="宋体" w:eastAsia="宋体"/>
                <w:sz w:val="21"/>
                <w:szCs w:val="21"/>
              </w:rPr>
            </w:pPr>
            <w:r>
              <w:rPr>
                <w:rFonts w:hint="eastAsia" w:ascii="宋体" w:hAnsi="宋体" w:eastAsia="宋体"/>
                <w:sz w:val="21"/>
                <w:szCs w:val="21"/>
              </w:rPr>
              <w:t xml:space="preserve">年  万元</w:t>
            </w:r>
            <w:r/>
          </w:p>
        </w:tc>
        <w:tc>
          <w:tcPr>
            <w:tcW w:w="1559" w:type="dxa"/>
            <w:vAlign w:val="center"/>
            <w:textDirection w:val="lrTb"/>
            <w:noWrap w:val="false"/>
          </w:tcPr>
          <w:p>
            <w:pPr>
              <w:pStyle w:val="716"/>
              <w:ind w:firstLine="0"/>
              <w:jc w:val="center"/>
              <w:rPr>
                <w:rFonts w:ascii="宋体" w:hAnsi="宋体" w:eastAsia="宋体"/>
                <w:sz w:val="21"/>
                <w:szCs w:val="21"/>
              </w:rPr>
            </w:pPr>
            <w:r>
              <w:rPr>
                <w:rFonts w:hint="eastAsia" w:ascii="宋体" w:hAnsi="宋体" w:eastAsia="宋体"/>
                <w:sz w:val="21"/>
                <w:szCs w:val="21"/>
              </w:rPr>
              <w:t xml:space="preserve">营业面积（含厂房面积）</w:t>
            </w:r>
            <w:r/>
          </w:p>
        </w:tc>
        <w:tc>
          <w:tcPr>
            <w:tcW w:w="2694" w:type="dxa"/>
            <w:vAlign w:val="center"/>
            <w:textDirection w:val="lrTb"/>
            <w:noWrap w:val="false"/>
          </w:tcPr>
          <w:p>
            <w:pPr>
              <w:pStyle w:val="716"/>
              <w:ind w:firstLine="0"/>
              <w:jc w:val="center"/>
              <w:rPr>
                <w:rFonts w:ascii="宋体" w:hAnsi="宋体" w:eastAsia="宋体"/>
                <w:sz w:val="21"/>
                <w:szCs w:val="21"/>
              </w:rPr>
            </w:pPr>
            <w:r>
              <w:rPr>
                <w:rFonts w:hint="eastAsia" w:ascii="宋体" w:hAnsi="宋体" w:eastAsia="宋体"/>
                <w:sz w:val="21"/>
                <w:szCs w:val="21"/>
              </w:rPr>
              <w:t xml:space="preserve">平方米</w:t>
            </w:r>
            <w:r/>
          </w:p>
        </w:tc>
      </w:tr>
      <w:tr>
        <w:trPr>
          <w:cantSplit/>
          <w:jc w:val="center"/>
          <w:trHeight w:val="597"/>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tcW w:w="6521"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578"/>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单位优势及特长</w:t>
            </w:r>
            <w:r/>
          </w:p>
        </w:tc>
        <w:tc>
          <w:tcPr>
            <w:gridSpan w:val="3"/>
            <w:tcW w:w="6521"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681"/>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6521"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851"/>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6521"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748"/>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6521"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1164"/>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参加政府采购活动前三年内，在经营活动中有无重大违法记录</w:t>
            </w:r>
            <w:r/>
          </w:p>
        </w:tc>
        <w:tc>
          <w:tcPr>
            <w:gridSpan w:val="3"/>
            <w:tcW w:w="6521"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r>
        <w:trPr>
          <w:cantSplit/>
          <w:jc w:val="center"/>
          <w:trHeight w:val="695"/>
        </w:trPr>
        <w:tc>
          <w:tcPr>
            <w:tcW w:w="2552" w:type="dxa"/>
            <w:vAlign w:val="center"/>
            <w:textDirection w:val="lrTb"/>
            <w:noWrap w:val="false"/>
          </w:tcPr>
          <w:p>
            <w:pPr>
              <w:pStyle w:val="716"/>
              <w:ind w:firstLine="0"/>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tcW w:w="6521" w:type="dxa"/>
            <w:textDirection w:val="lrTb"/>
            <w:noWrap w:val="false"/>
          </w:tcPr>
          <w:p>
            <w:pPr>
              <w:pStyle w:val="716"/>
              <w:ind w:firstLine="0"/>
              <w:rPr>
                <w:rFonts w:ascii="宋体" w:hAnsi="宋体" w:eastAsia="宋体"/>
                <w:sz w:val="21"/>
                <w:szCs w:val="21"/>
              </w:rPr>
            </w:pPr>
            <w:r>
              <w:rPr>
                <w:rFonts w:ascii="宋体" w:hAnsi="宋体" w:eastAsia="宋体"/>
                <w:sz w:val="21"/>
                <w:szCs w:val="21"/>
              </w:rPr>
            </w:r>
            <w:r/>
          </w:p>
        </w:tc>
      </w:tr>
    </w:tbl>
    <w:p>
      <w:pPr>
        <w:pStyle w:val="716"/>
        <w:spacing w:line="360" w:lineRule="auto"/>
        <w:rPr>
          <w:rFonts w:ascii="宋体" w:hAnsi="宋体" w:eastAsia="宋体"/>
          <w:sz w:val="21"/>
          <w:szCs w:val="21"/>
        </w:rPr>
      </w:pPr>
      <w:r>
        <w:rPr>
          <w:rFonts w:hint="eastAsia" w:ascii="宋体" w:hAnsi="宋体" w:eastAsia="宋体"/>
          <w:sz w:val="21"/>
          <w:szCs w:val="21"/>
        </w:rPr>
        <w:t xml:space="preserve">投标人：（盖章）</w:t>
      </w:r>
      <w:r/>
    </w:p>
    <w:p>
      <w:pPr>
        <w:pStyle w:val="716"/>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w:t>
      </w:r>
      <w:r/>
    </w:p>
    <w:p>
      <w:pPr>
        <w:ind w:firstLine="420"/>
        <w:jc w:val="left"/>
        <w:rPr>
          <w:rFonts w:hAnsi="宋体" w:eastAsia="宋体"/>
          <w:b/>
          <w:sz w:val="21"/>
          <w:szCs w:val="21"/>
        </w:rPr>
      </w:pPr>
      <w:r>
        <w:rPr>
          <w:rFonts w:hint="eastAsia" w:ascii="宋体" w:hAnsi="宋体" w:eastAsia="宋体"/>
          <w:sz w:val="21"/>
          <w:szCs w:val="21"/>
        </w:rPr>
        <w:t xml:space="preserve">日期： </w:t>
      </w:r>
      <w:r>
        <w:rPr>
          <w:rFonts w:ascii="宋体" w:hAnsi="宋体" w:eastAsia="宋体"/>
          <w:sz w:val="21"/>
          <w:szCs w:val="21"/>
        </w:rPr>
        <w:t xml:space="preserve">   </w:t>
      </w:r>
      <w:r>
        <w:rPr>
          <w:rFonts w:hint="eastAsia" w:ascii="宋体" w:hAnsi="宋体" w:eastAsia="宋体"/>
          <w:sz w:val="21"/>
          <w:szCs w:val="21"/>
        </w:rPr>
        <w:t xml:space="preserve">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 日</w:t>
      </w:r>
      <w:r>
        <w:rPr>
          <w:rFonts w:ascii="宋体" w:hAnsi="宋体" w:eastAsia="宋体"/>
          <w:b/>
          <w:bCs/>
          <w:sz w:val="21"/>
          <w:szCs w:val="21"/>
        </w:rPr>
        <w:br w:type="page" w:clear="all"/>
      </w:r>
      <w:bookmarkStart w:id="44" w:name="_Toc142194272"/>
      <w:r>
        <w:rPr>
          <w:rFonts w:hint="eastAsia" w:hAnsi="宋体" w:eastAsia="宋体"/>
          <w:b/>
          <w:sz w:val="21"/>
          <w:szCs w:val="21"/>
        </w:rPr>
        <w:t xml:space="preserve">3</w:t>
      </w:r>
      <w:r>
        <w:rPr>
          <w:rFonts w:hint="eastAsia" w:hAnsi="宋体" w:eastAsia="宋体"/>
          <w:b/>
          <w:sz w:val="21"/>
          <w:szCs w:val="21"/>
        </w:rPr>
        <w:t xml:space="preserve">、投标人与其他单位存在控股、管理关系情况表</w:t>
      </w:r>
      <w:r/>
    </w:p>
    <w:p>
      <w:pPr>
        <w:jc w:val="center"/>
        <w:spacing w:line="360" w:lineRule="auto"/>
        <w:rPr>
          <w:rFonts w:ascii="宋体" w:hAnsi="宋体" w:eastAsia="宋体"/>
          <w:b/>
          <w:sz w:val="21"/>
          <w:szCs w:val="21"/>
        </w:rPr>
      </w:pPr>
      <w:r>
        <w:rPr>
          <w:rFonts w:ascii="宋体" w:hAnsi="宋体" w:eastAsia="宋体"/>
          <w:b/>
          <w:sz w:val="21"/>
          <w:szCs w:val="21"/>
        </w:rPr>
      </w:r>
      <w:r/>
    </w:p>
    <w:p>
      <w:pPr>
        <w:jc w:val="center"/>
        <w:spacing w:line="360" w:lineRule="auto"/>
        <w:rPr>
          <w:rFonts w:ascii="宋体" w:hAnsi="宋体" w:eastAsia="宋体"/>
          <w:b/>
          <w:sz w:val="30"/>
          <w:szCs w:val="30"/>
        </w:rPr>
      </w:pPr>
      <w:r>
        <w:rPr>
          <w:rFonts w:hint="eastAsia" w:ascii="宋体" w:hAnsi="宋体" w:eastAsia="宋体"/>
          <w:b/>
          <w:sz w:val="30"/>
          <w:szCs w:val="30"/>
        </w:rPr>
        <w:t xml:space="preserve">投标人与其他单位存在控股、管理关系情况表</w:t>
      </w:r>
      <w:r/>
    </w:p>
    <w:p>
      <w:pPr>
        <w:jc w:val="center"/>
        <w:spacing w:line="360" w:lineRule="auto"/>
        <w:rPr>
          <w:rFonts w:ascii="宋体" w:hAnsi="宋体" w:eastAsia="宋体"/>
          <w:b/>
          <w:sz w:val="21"/>
          <w:szCs w:val="21"/>
        </w:rPr>
      </w:pPr>
      <w:r>
        <w:rPr>
          <w:rFonts w:ascii="宋体" w:hAnsi="宋体" w:eastAsia="宋体"/>
          <w:b/>
          <w:sz w:val="21"/>
          <w:szCs w:val="21"/>
        </w:rPr>
      </w:r>
      <w:r/>
    </w:p>
    <w:tbl>
      <w:tblPr>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eastAsia="宋体"/>
                <w:b/>
                <w:sz w:val="21"/>
                <w:szCs w:val="21"/>
              </w:rPr>
            </w:pPr>
            <w:r>
              <w:rPr>
                <w:rFonts w:hint="eastAsia" w:ascii="宋体" w:hAnsi="宋体" w:eastAsia="宋体"/>
                <w:b/>
                <w:sz w:val="21"/>
                <w:szCs w:val="21"/>
              </w:rPr>
              <w:t xml:space="preserve">与投标人存在控股、管理关系的单位名称</w:t>
            </w:r>
            <w:r/>
          </w:p>
        </w:tc>
        <w:tc>
          <w:tcPr>
            <w:tcW w:w="4935" w:type="dxa"/>
            <w:vAlign w:val="center"/>
            <w:textDirection w:val="lrTb"/>
            <w:noWrap w:val="false"/>
          </w:tcPr>
          <w:p>
            <w:pPr>
              <w:jc w:val="center"/>
              <w:rPr>
                <w:rFonts w:ascii="宋体" w:hAnsi="宋体" w:eastAsia="宋体"/>
                <w:b/>
                <w:sz w:val="21"/>
                <w:szCs w:val="21"/>
              </w:rPr>
            </w:pPr>
            <w:r>
              <w:rPr>
                <w:rFonts w:hint="eastAsia" w:ascii="宋体" w:hAnsi="宋体" w:eastAsia="宋体"/>
                <w:b/>
                <w:sz w:val="21"/>
                <w:szCs w:val="21"/>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c>
          <w:tcPr>
            <w:tcW w:w="4935"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r>
      <w:tr>
        <w:trPr>
          <w:jc w:val="center"/>
          <w:trHeight w:val="850"/>
        </w:trPr>
        <w:tc>
          <w:tcPr>
            <w:tcW w:w="4671"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c>
          <w:tcPr>
            <w:tcW w:w="4935"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r>
      <w:tr>
        <w:trPr>
          <w:jc w:val="center"/>
          <w:trHeight w:val="850"/>
        </w:trPr>
        <w:tc>
          <w:tcPr>
            <w:tcW w:w="4671"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c>
          <w:tcPr>
            <w:tcW w:w="4935"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r>
      <w:tr>
        <w:trPr>
          <w:jc w:val="center"/>
          <w:trHeight w:val="850"/>
        </w:trPr>
        <w:tc>
          <w:tcPr>
            <w:tcW w:w="4671"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c>
          <w:tcPr>
            <w:tcW w:w="4935"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r>
      <w:tr>
        <w:trPr>
          <w:jc w:val="center"/>
          <w:trHeight w:val="850"/>
        </w:trPr>
        <w:tc>
          <w:tcPr>
            <w:tcW w:w="4671"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c>
          <w:tcPr>
            <w:tcW w:w="4935"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r>
      <w:tr>
        <w:trPr>
          <w:jc w:val="center"/>
          <w:trHeight w:val="850"/>
        </w:trPr>
        <w:tc>
          <w:tcPr>
            <w:tcW w:w="4671"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c>
          <w:tcPr>
            <w:tcW w:w="4935" w:type="dxa"/>
            <w:vAlign w:val="center"/>
            <w:textDirection w:val="lrTb"/>
            <w:noWrap w:val="false"/>
          </w:tcPr>
          <w:p>
            <w:pPr>
              <w:jc w:val="center"/>
              <w:rPr>
                <w:rFonts w:ascii="宋体" w:hAnsi="宋体" w:eastAsia="宋体"/>
                <w:b/>
                <w:sz w:val="21"/>
                <w:szCs w:val="21"/>
              </w:rPr>
            </w:pPr>
            <w:r>
              <w:rPr>
                <w:rFonts w:ascii="宋体" w:hAnsi="宋体" w:eastAsia="宋体"/>
                <w:b/>
                <w:sz w:val="21"/>
                <w:szCs w:val="21"/>
              </w:rPr>
            </w:r>
            <w:r/>
          </w:p>
        </w:tc>
      </w:tr>
    </w:tbl>
    <w:p>
      <w:pPr>
        <w:ind w:firstLine="422"/>
        <w:spacing w:line="360" w:lineRule="auto"/>
        <w:rPr>
          <w:rFonts w:ascii="宋体" w:hAnsi="宋体" w:eastAsia="宋体"/>
          <w:b/>
          <w:sz w:val="21"/>
          <w:szCs w:val="21"/>
        </w:rPr>
      </w:pPr>
      <w:r>
        <w:rPr>
          <w:rFonts w:hint="eastAsia" w:ascii="宋体" w:hAnsi="宋体" w:eastAsia="宋体"/>
          <w:b/>
          <w:sz w:val="21"/>
          <w:szCs w:val="21"/>
        </w:rPr>
        <w:t xml:space="preserve">注：1、投标单位须如实填写所有与之有控股、管理关系的情况，若无控股及管理情况，请填写“无”，并加盖公章，该情况表为资格审查条件，未提交视为资格审查不合格。</w:t>
      </w:r>
      <w:r/>
    </w:p>
    <w:p>
      <w:pPr>
        <w:pStyle w:val="713"/>
        <w:rPr>
          <w:rFonts w:ascii="宋体" w:hAnsi="宋体" w:eastAsia="宋体"/>
          <w:sz w:val="21"/>
          <w:szCs w:val="21"/>
        </w:rPr>
      </w:pPr>
      <w:r>
        <w:rPr>
          <w:rFonts w:hint="eastAsia" w:ascii="宋体" w:hAnsi="宋体" w:eastAsia="宋体"/>
          <w:b/>
          <w:sz w:val="21"/>
          <w:szCs w:val="21"/>
        </w:rPr>
        <w:t xml:space="preserve">       2、投标单位对上述情况表的真实性负责。如有虚假，将依法承担相应责任。</w:t>
      </w:r>
      <w:r/>
    </w:p>
    <w:p>
      <w:pPr>
        <w:ind w:firstLine="422"/>
        <w:spacing w:line="360" w:lineRule="auto"/>
        <w:rPr>
          <w:rFonts w:ascii="宋体" w:hAnsi="宋体" w:eastAsia="宋体"/>
          <w:b/>
          <w:sz w:val="21"/>
          <w:szCs w:val="21"/>
        </w:rPr>
      </w:pPr>
      <w:r>
        <w:rPr>
          <w:rFonts w:ascii="宋体" w:hAnsi="宋体" w:eastAsia="宋体"/>
          <w:b/>
          <w:sz w:val="21"/>
          <w:szCs w:val="21"/>
        </w:rPr>
      </w:r>
      <w:r/>
    </w:p>
    <w:p>
      <w:pPr>
        <w:ind w:firstLine="422"/>
        <w:spacing w:line="360" w:lineRule="auto"/>
        <w:rPr>
          <w:rFonts w:ascii="宋体" w:hAnsi="宋体" w:eastAsia="宋体"/>
          <w:b/>
          <w:sz w:val="21"/>
          <w:szCs w:val="21"/>
        </w:rPr>
      </w:pPr>
      <w:r>
        <w:rPr>
          <w:rFonts w:ascii="宋体" w:hAnsi="宋体" w:eastAsia="宋体"/>
          <w:b/>
          <w:sz w:val="21"/>
          <w:szCs w:val="21"/>
        </w:rPr>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投标人：（盖章）</w:t>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w:t>
      </w:r>
      <w:r/>
    </w:p>
    <w:p>
      <w:pPr>
        <w:pStyle w:val="716"/>
        <w:jc w:val="both"/>
        <w:spacing w:line="360" w:lineRule="auto"/>
        <w:rPr>
          <w:rFonts w:ascii="宋体" w:hAnsi="宋体" w:eastAsia="宋体"/>
          <w:sz w:val="21"/>
          <w:szCs w:val="21"/>
        </w:rPr>
      </w:pPr>
      <w:r>
        <w:rPr>
          <w:rFonts w:hint="eastAsia" w:ascii="宋体" w:hAnsi="宋体" w:eastAsia="宋体"/>
          <w:sz w:val="21"/>
          <w:szCs w:val="21"/>
        </w:rPr>
        <w:t xml:space="preserve">日期： </w:t>
      </w:r>
      <w:r>
        <w:rPr>
          <w:rFonts w:ascii="宋体" w:hAnsi="宋体" w:eastAsia="宋体"/>
          <w:sz w:val="21"/>
          <w:szCs w:val="21"/>
        </w:rPr>
        <w:t xml:space="preserve">   </w:t>
      </w:r>
      <w:r>
        <w:rPr>
          <w:rFonts w:hint="eastAsia" w:ascii="宋体" w:hAnsi="宋体" w:eastAsia="宋体"/>
          <w:sz w:val="21"/>
          <w:szCs w:val="21"/>
        </w:rPr>
        <w:t xml:space="preserve">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 日</w:t>
      </w:r>
      <w:r/>
    </w:p>
    <w:p>
      <w:pPr>
        <w:jc w:val="left"/>
        <w:widowControl/>
        <w:rPr>
          <w:rFonts w:ascii="宋体" w:hAnsi="宋体" w:eastAsia="宋体"/>
          <w:b/>
          <w:bCs/>
          <w:sz w:val="21"/>
          <w:szCs w:val="21"/>
        </w:rPr>
      </w:pPr>
      <w:r>
        <w:rPr>
          <w:rFonts w:ascii="宋体" w:hAnsi="宋体" w:eastAsia="宋体"/>
          <w:b/>
          <w:bCs/>
          <w:sz w:val="21"/>
          <w:szCs w:val="21"/>
        </w:rPr>
        <w:br w:type="page" w:clear="all"/>
      </w:r>
      <w:bookmarkStart w:id="45" w:name="_Toc348784829"/>
      <w:r/>
      <w:bookmarkStart w:id="46" w:name="_Toc382997005"/>
      <w:r/>
      <w:bookmarkStart w:id="47" w:name="_Toc405820406"/>
      <w:r/>
      <w:bookmarkStart w:id="48" w:name="_Toc348785015"/>
      <w:r/>
      <w:bookmarkStart w:id="49" w:name="_Toc405820303"/>
      <w:r/>
      <w:bookmarkStart w:id="50" w:name="_Toc405820241"/>
      <w:r/>
      <w:bookmarkStart w:id="51" w:name="_Toc405820181"/>
      <w:r/>
      <w:bookmarkStart w:id="52" w:name="_Toc348785370"/>
      <w:r/>
      <w:r/>
    </w:p>
    <w:p>
      <w:pPr>
        <w:pStyle w:val="716"/>
        <w:ind w:firstLine="0"/>
        <w:spacing w:line="360" w:lineRule="auto"/>
        <w:rPr>
          <w:rFonts w:ascii="宋体" w:hAnsi="宋体" w:eastAsia="宋体" w:cs="宋体"/>
          <w:b/>
          <w:bCs/>
          <w:sz w:val="21"/>
          <w:szCs w:val="21"/>
        </w:rPr>
      </w:pPr>
      <w:r>
        <w:rPr>
          <w:rFonts w:hint="eastAsia" w:ascii="宋体" w:hAnsi="宋体" w:eastAsia="宋体"/>
          <w:b/>
          <w:sz w:val="21"/>
          <w:szCs w:val="21"/>
        </w:rPr>
        <w:t xml:space="preserve">七、</w:t>
      </w:r>
      <w:bookmarkStart w:id="53" w:name="_Ref392256331"/>
      <w:r>
        <w:rPr>
          <w:rFonts w:hint="eastAsia" w:ascii="宋体" w:hAnsi="宋体" w:eastAsia="宋体" w:cs="宋体"/>
          <w:b/>
          <w:bCs/>
          <w:sz w:val="21"/>
          <w:szCs w:val="21"/>
        </w:rPr>
        <w:t xml:space="preserve">项目人员</w:t>
      </w:r>
      <w:bookmarkEnd w:id="53"/>
      <w:r>
        <w:rPr>
          <w:rFonts w:hint="eastAsia" w:ascii="宋体" w:hAnsi="宋体" w:eastAsia="宋体" w:cs="宋体"/>
          <w:b/>
          <w:bCs/>
          <w:sz w:val="21"/>
          <w:szCs w:val="21"/>
        </w:rPr>
        <w:t xml:space="preserve">配置表</w:t>
      </w:r>
      <w:r/>
    </w:p>
    <w:p>
      <w:pPr>
        <w:jc w:val="center"/>
        <w:spacing w:line="360" w:lineRule="auto"/>
        <w:rPr>
          <w:rFonts w:ascii="宋体" w:hAnsi="宋体" w:eastAsia="宋体"/>
          <w:b/>
          <w:sz w:val="30"/>
          <w:szCs w:val="30"/>
        </w:rPr>
      </w:pPr>
      <w:r>
        <w:rPr>
          <w:rFonts w:hint="eastAsia" w:ascii="宋体" w:hAnsi="宋体" w:eastAsia="宋体"/>
          <w:b/>
          <w:sz w:val="30"/>
          <w:szCs w:val="30"/>
        </w:rPr>
        <w:t xml:space="preserve">项目组人员配备一览表</w:t>
      </w:r>
      <w:r/>
    </w:p>
    <w:tbl>
      <w:tblPr>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5"/>
        <w:gridCol w:w="2895"/>
        <w:gridCol w:w="1041"/>
        <w:gridCol w:w="1084"/>
        <w:gridCol w:w="1035"/>
        <w:gridCol w:w="1105"/>
        <w:gridCol w:w="1000"/>
      </w:tblGrid>
      <w:tr>
        <w:trPr>
          <w:jc w:val="center"/>
          <w:trHeight w:val="760"/>
        </w:trPr>
        <w:tc>
          <w:tcPr>
            <w:tcW w:w="645" w:type="dxa"/>
            <w:vAlign w:val="center"/>
            <w:textDirection w:val="lrTb"/>
            <w:noWrap w:val="false"/>
          </w:tcPr>
          <w:p>
            <w:pPr>
              <w:jc w:val="center"/>
              <w:spacing w:line="360" w:lineRule="auto"/>
              <w:rPr>
                <w:rFonts w:ascii="宋体" w:hAnsi="宋体" w:eastAsia="宋体" w:cs="等线"/>
                <w:sz w:val="21"/>
                <w:szCs w:val="21"/>
              </w:rPr>
            </w:pPr>
            <w:r>
              <w:rPr>
                <w:rFonts w:hint="eastAsia" w:ascii="宋体" w:hAnsi="宋体" w:eastAsia="宋体" w:cs="等线"/>
                <w:sz w:val="21"/>
                <w:szCs w:val="21"/>
              </w:rPr>
              <w:t xml:space="preserve">序号</w:t>
            </w:r>
            <w:r/>
          </w:p>
        </w:tc>
        <w:tc>
          <w:tcPr>
            <w:tcW w:w="2895" w:type="dxa"/>
            <w:vAlign w:val="center"/>
            <w:textDirection w:val="lrTb"/>
            <w:noWrap w:val="false"/>
          </w:tcPr>
          <w:p>
            <w:pPr>
              <w:jc w:val="center"/>
              <w:spacing w:line="360" w:lineRule="auto"/>
              <w:rPr>
                <w:rFonts w:ascii="宋体" w:hAnsi="宋体" w:eastAsia="宋体" w:cs="等线"/>
                <w:sz w:val="21"/>
                <w:szCs w:val="21"/>
              </w:rPr>
            </w:pPr>
            <w:r>
              <w:rPr>
                <w:rFonts w:hint="eastAsia" w:ascii="宋体" w:hAnsi="宋体" w:eastAsia="宋体" w:cs="等线"/>
                <w:sz w:val="21"/>
                <w:szCs w:val="21"/>
              </w:rPr>
              <w:t xml:space="preserve">岗位</w:t>
            </w:r>
            <w:r/>
          </w:p>
        </w:tc>
        <w:tc>
          <w:tcPr>
            <w:tcW w:w="1041" w:type="dxa"/>
            <w:vAlign w:val="center"/>
            <w:textDirection w:val="lrTb"/>
            <w:noWrap w:val="false"/>
          </w:tcPr>
          <w:p>
            <w:pPr>
              <w:jc w:val="center"/>
              <w:spacing w:line="360" w:lineRule="auto"/>
              <w:rPr>
                <w:rFonts w:ascii="宋体" w:hAnsi="宋体" w:eastAsia="宋体" w:cs="等线"/>
                <w:sz w:val="21"/>
                <w:szCs w:val="21"/>
              </w:rPr>
            </w:pPr>
            <w:r>
              <w:rPr>
                <w:rFonts w:hint="eastAsia" w:ascii="宋体" w:hAnsi="宋体" w:eastAsia="宋体" w:cs="等线"/>
                <w:sz w:val="21"/>
                <w:szCs w:val="21"/>
              </w:rPr>
              <w:t xml:space="preserve">姓名</w:t>
            </w:r>
            <w:r/>
          </w:p>
        </w:tc>
        <w:tc>
          <w:tcPr>
            <w:tcW w:w="1084" w:type="dxa"/>
            <w:vAlign w:val="center"/>
            <w:textDirection w:val="lrTb"/>
            <w:noWrap w:val="false"/>
          </w:tcPr>
          <w:p>
            <w:pPr>
              <w:jc w:val="center"/>
              <w:spacing w:line="360" w:lineRule="auto"/>
              <w:rPr>
                <w:rFonts w:ascii="宋体" w:hAnsi="宋体" w:eastAsia="宋体" w:cs="等线"/>
                <w:sz w:val="21"/>
                <w:szCs w:val="21"/>
              </w:rPr>
            </w:pPr>
            <w:r>
              <w:rPr>
                <w:rFonts w:hint="eastAsia" w:ascii="宋体" w:hAnsi="宋体" w:eastAsia="宋体" w:cs="等线"/>
                <w:sz w:val="21"/>
                <w:szCs w:val="21"/>
              </w:rPr>
              <w:t xml:space="preserve">性别</w:t>
            </w:r>
            <w:r/>
          </w:p>
        </w:tc>
        <w:tc>
          <w:tcPr>
            <w:tcW w:w="1035" w:type="dxa"/>
            <w:vAlign w:val="center"/>
            <w:textDirection w:val="lrTb"/>
            <w:noWrap w:val="false"/>
          </w:tcPr>
          <w:p>
            <w:pPr>
              <w:jc w:val="center"/>
              <w:spacing w:line="360" w:lineRule="auto"/>
              <w:rPr>
                <w:rFonts w:ascii="宋体" w:hAnsi="宋体" w:eastAsia="宋体" w:cs="等线"/>
                <w:sz w:val="21"/>
                <w:szCs w:val="21"/>
              </w:rPr>
            </w:pPr>
            <w:r>
              <w:rPr>
                <w:rFonts w:hint="eastAsia" w:ascii="宋体" w:hAnsi="宋体" w:eastAsia="宋体" w:cs="等线"/>
                <w:sz w:val="21"/>
                <w:szCs w:val="21"/>
              </w:rPr>
              <w:t xml:space="preserve">年龄</w:t>
            </w:r>
            <w:r/>
          </w:p>
        </w:tc>
        <w:tc>
          <w:tcPr>
            <w:tcW w:w="1105" w:type="dxa"/>
            <w:vAlign w:val="center"/>
            <w:textDirection w:val="lrTb"/>
            <w:noWrap w:val="false"/>
          </w:tcPr>
          <w:p>
            <w:pPr>
              <w:jc w:val="center"/>
              <w:spacing w:line="360" w:lineRule="auto"/>
              <w:rPr>
                <w:rFonts w:ascii="宋体" w:hAnsi="宋体" w:eastAsia="宋体" w:cs="等线"/>
                <w:sz w:val="21"/>
                <w:szCs w:val="21"/>
              </w:rPr>
            </w:pPr>
            <w:r>
              <w:rPr>
                <w:rFonts w:hint="eastAsia" w:ascii="宋体" w:hAnsi="宋体" w:eastAsia="宋体" w:cs="等线"/>
                <w:sz w:val="21"/>
                <w:szCs w:val="21"/>
              </w:rPr>
              <w:t xml:space="preserve">职称</w:t>
            </w:r>
            <w:r/>
          </w:p>
        </w:tc>
        <w:tc>
          <w:tcPr>
            <w:tcW w:w="1000" w:type="dxa"/>
            <w:vAlign w:val="center"/>
            <w:textDirection w:val="lrTb"/>
            <w:noWrap w:val="false"/>
          </w:tcPr>
          <w:p>
            <w:pPr>
              <w:jc w:val="center"/>
              <w:spacing w:line="360" w:lineRule="auto"/>
              <w:rPr>
                <w:rFonts w:ascii="宋体" w:hAnsi="宋体" w:eastAsia="宋体" w:cs="等线"/>
                <w:sz w:val="21"/>
                <w:szCs w:val="21"/>
              </w:rPr>
            </w:pPr>
            <w:r>
              <w:rPr>
                <w:rFonts w:hint="eastAsia" w:ascii="宋体" w:hAnsi="宋体" w:eastAsia="宋体" w:cs="等线"/>
                <w:sz w:val="21"/>
                <w:szCs w:val="21"/>
              </w:rPr>
              <w:t xml:space="preserve">证书</w:t>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289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41"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84"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3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105"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c>
          <w:tcPr>
            <w:tcW w:w="1000" w:type="dxa"/>
            <w:vAlign w:val="center"/>
            <w:textDirection w:val="lrTb"/>
            <w:noWrap w:val="false"/>
          </w:tcPr>
          <w:p>
            <w:pPr>
              <w:jc w:val="center"/>
              <w:rPr>
                <w:rFonts w:ascii="宋体" w:hAnsi="宋体" w:eastAsia="宋体" w:cs="等线"/>
                <w:sz w:val="21"/>
                <w:szCs w:val="21"/>
              </w:rPr>
            </w:pPr>
            <w:r>
              <w:rPr>
                <w:rFonts w:ascii="宋体" w:hAnsi="宋体" w:eastAsia="宋体" w:cs="等线"/>
                <w:sz w:val="21"/>
                <w:szCs w:val="21"/>
              </w:rPr>
            </w:r>
            <w:r/>
          </w:p>
        </w:tc>
      </w:tr>
    </w:tbl>
    <w:p>
      <w:pP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w:t>
      </w:r>
      <w:r/>
    </w:p>
    <w:p>
      <w:pPr>
        <w:spacing w:line="360" w:lineRule="auto"/>
        <w:rPr>
          <w:rFonts w:ascii="宋体" w:hAnsi="宋体" w:eastAsia="宋体"/>
          <w:sz w:val="21"/>
          <w:szCs w:val="21"/>
          <w:lang w:val="zh-CN"/>
        </w:rPr>
      </w:pPr>
      <w:r>
        <w:rPr>
          <w:rFonts w:hint="eastAsia" w:ascii="宋体" w:hAnsi="宋体" w:eastAsia="宋体"/>
          <w:sz w:val="21"/>
          <w:szCs w:val="21"/>
        </w:rPr>
        <w:t xml:space="preserve">日期： </w:t>
      </w:r>
      <w:r>
        <w:rPr>
          <w:rFonts w:ascii="宋体" w:hAnsi="宋体" w:eastAsia="宋体"/>
          <w:sz w:val="21"/>
          <w:szCs w:val="21"/>
        </w:rPr>
        <w:t xml:space="preserve">   </w:t>
      </w:r>
      <w:r>
        <w:rPr>
          <w:rFonts w:hint="eastAsia" w:ascii="宋体" w:hAnsi="宋体" w:eastAsia="宋体"/>
          <w:sz w:val="21"/>
          <w:szCs w:val="21"/>
        </w:rPr>
        <w:t xml:space="preserve">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 日</w:t>
      </w:r>
      <w:r/>
    </w:p>
    <w:p>
      <w:pPr>
        <w:jc w:val="left"/>
        <w:widowControl/>
        <w:rPr>
          <w:rFonts w:ascii="宋体" w:hAnsi="宋体" w:eastAsia="宋体"/>
          <w:b/>
          <w:sz w:val="21"/>
          <w:szCs w:val="21"/>
        </w:rPr>
      </w:pPr>
      <w:r>
        <w:rPr>
          <w:rFonts w:hint="eastAsia" w:ascii="宋体" w:hAnsi="宋体" w:eastAsia="宋体"/>
          <w:b/>
          <w:sz w:val="21"/>
          <w:szCs w:val="21"/>
        </w:rPr>
        <w:br w:type="page" w:clear="all"/>
      </w:r>
      <w:r/>
    </w:p>
    <w:p>
      <w:pPr>
        <w:pStyle w:val="950"/>
        <w:jc w:val="left"/>
        <w:spacing w:line="360" w:lineRule="auto"/>
        <w:rPr>
          <w:rFonts w:hAnsi="宋体" w:eastAsia="宋体"/>
          <w:b/>
          <w:sz w:val="21"/>
          <w:szCs w:val="21"/>
        </w:rPr>
      </w:pPr>
      <w:r>
        <w:rPr>
          <w:rFonts w:hint="eastAsia" w:hAnsi="宋体" w:eastAsia="宋体"/>
          <w:b/>
          <w:sz w:val="21"/>
          <w:szCs w:val="21"/>
        </w:rPr>
        <w:t xml:space="preserve">八、类似业绩一览表</w:t>
      </w:r>
      <w:r/>
    </w:p>
    <w:p>
      <w:pPr>
        <w:jc w:val="center"/>
        <w:spacing w:line="360" w:lineRule="auto"/>
        <w:rPr>
          <w:rFonts w:ascii="宋体" w:hAnsi="宋体" w:eastAsia="宋体"/>
          <w:b/>
          <w:sz w:val="21"/>
          <w:szCs w:val="21"/>
        </w:rPr>
      </w:pPr>
      <w:r>
        <w:rPr>
          <w:rFonts w:ascii="宋体" w:hAnsi="宋体" w:eastAsia="宋体"/>
          <w:b/>
          <w:sz w:val="21"/>
          <w:szCs w:val="21"/>
        </w:rPr>
      </w:r>
      <w:r/>
    </w:p>
    <w:p>
      <w:pPr>
        <w:jc w:val="center"/>
        <w:spacing w:line="360" w:lineRule="auto"/>
        <w:rPr>
          <w:rFonts w:ascii="宋体" w:hAnsi="宋体" w:eastAsia="宋体"/>
          <w:b/>
          <w:sz w:val="30"/>
          <w:szCs w:val="30"/>
        </w:rPr>
      </w:pPr>
      <w:r>
        <w:rPr>
          <w:rFonts w:hint="eastAsia" w:ascii="宋体" w:hAnsi="宋体" w:eastAsia="宋体"/>
          <w:b/>
          <w:sz w:val="30"/>
          <w:szCs w:val="30"/>
        </w:rPr>
        <w:t xml:space="preserve">类似业绩一览表</w:t>
      </w:r>
      <w:r/>
    </w:p>
    <w:tbl>
      <w:tblPr>
        <w:tblW w:w="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2879"/>
        <w:gridCol w:w="1852"/>
        <w:gridCol w:w="2204"/>
        <w:gridCol w:w="1225"/>
      </w:tblGrid>
      <w:tr>
        <w:trPr>
          <w:cantSplit/>
          <w:jc w:val="center"/>
          <w:trHeight w:val="634"/>
        </w:trPr>
        <w:tc>
          <w:tcPr>
            <w:tcW w:w="993"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序号</w:t>
            </w:r>
            <w:r/>
          </w:p>
        </w:tc>
        <w:tc>
          <w:tcPr>
            <w:tcW w:w="2879"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项目名称</w:t>
            </w:r>
            <w:r/>
          </w:p>
        </w:tc>
        <w:tc>
          <w:tcPr>
            <w:tcW w:w="1852"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采购单位</w:t>
            </w:r>
            <w:r/>
          </w:p>
        </w:tc>
        <w:tc>
          <w:tcPr>
            <w:tcW w:w="2204"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签订时间</w:t>
            </w:r>
            <w:r/>
          </w:p>
        </w:tc>
        <w:tc>
          <w:tcPr>
            <w:tcW w:w="1225"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备注</w:t>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1</w:t>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2</w:t>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3</w:t>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4</w:t>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hint="eastAsia" w:ascii="宋体" w:hAnsi="宋体" w:eastAsia="宋体" w:cs="宋体"/>
                <w:bCs/>
                <w:sz w:val="21"/>
                <w:szCs w:val="21"/>
              </w:rPr>
              <w:t xml:space="preserve">5</w:t>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tbRlV"/>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879"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852"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2204"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c>
          <w:tcPr>
            <w:tcW w:w="1225" w:type="dxa"/>
            <w:vAlign w:val="center"/>
            <w:textDirection w:val="lrTb"/>
            <w:noWrap w:val="false"/>
          </w:tcPr>
          <w:p>
            <w:pPr>
              <w:jc w:val="center"/>
              <w:rPr>
                <w:rFonts w:ascii="宋体" w:hAnsi="宋体" w:eastAsia="宋体" w:cs="宋体"/>
                <w:bCs/>
                <w:sz w:val="21"/>
                <w:szCs w:val="21"/>
              </w:rPr>
            </w:pPr>
            <w:r>
              <w:rPr>
                <w:rFonts w:ascii="宋体" w:hAnsi="宋体" w:eastAsia="宋体" w:cs="宋体"/>
                <w:bCs/>
                <w:sz w:val="21"/>
                <w:szCs w:val="21"/>
              </w:rPr>
            </w:r>
            <w:r/>
          </w:p>
        </w:tc>
      </w:tr>
    </w:tbl>
    <w:p>
      <w:pPr>
        <w:jc w:val="center"/>
        <w:spacing w:line="360" w:lineRule="auto"/>
        <w:rPr>
          <w:rFonts w:ascii="宋体" w:hAnsi="宋体" w:eastAsia="宋体"/>
          <w:b/>
          <w:sz w:val="21"/>
          <w:szCs w:val="21"/>
        </w:rPr>
      </w:pPr>
      <w:r>
        <w:rPr>
          <w:rFonts w:ascii="宋体" w:hAnsi="宋体" w:eastAsia="宋体"/>
          <w:b/>
          <w:sz w:val="21"/>
          <w:szCs w:val="21"/>
        </w:rPr>
      </w:r>
      <w:r/>
    </w:p>
    <w:p>
      <w:pPr>
        <w:ind w:firstLine="420"/>
        <w:spacing w:line="360" w:lineRule="auto"/>
        <w:rPr>
          <w:rFonts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注：投标人应提供双方签订合同的复印件并加盖投标人公章（公章），否则将不作为评标的依据。</w:t>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pStyle w:val="944"/>
        <w:ind w:firstLine="420"/>
        <w:rPr>
          <w:rFonts w:ascii="宋体" w:hAnsi="宋体" w:eastAsia="宋体"/>
          <w:sz w:val="21"/>
          <w:szCs w:val="21"/>
        </w:rPr>
      </w:pPr>
      <w:r>
        <w:rPr>
          <w:rFonts w:hint="eastAsia" w:ascii="宋体" w:hAnsi="宋体" w:eastAsia="宋体"/>
          <w:sz w:val="21"/>
          <w:szCs w:val="21"/>
        </w:rPr>
        <w:t xml:space="preserve">投标人：（盖章）</w:t>
      </w:r>
      <w:r/>
    </w:p>
    <w:p>
      <w:pPr>
        <w:pStyle w:val="944"/>
        <w:ind w:firstLine="420"/>
        <w:rPr>
          <w:rFonts w:ascii="宋体" w:hAnsi="宋体" w:eastAsia="宋体"/>
          <w:sz w:val="21"/>
          <w:szCs w:val="21"/>
        </w:rPr>
      </w:pPr>
      <w:r>
        <w:rPr>
          <w:rFonts w:hint="eastAsia" w:ascii="宋体" w:hAnsi="宋体" w:eastAsia="宋体"/>
          <w:sz w:val="21"/>
          <w:szCs w:val="21"/>
        </w:rPr>
        <w:t xml:space="preserve">法定代表人或代理人：（签字或盖章）</w:t>
      </w:r>
      <w:r/>
    </w:p>
    <w:p>
      <w:pPr>
        <w:pStyle w:val="724"/>
        <w:ind w:firstLine="420"/>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   </w:t>
      </w:r>
      <w:r>
        <w:rPr>
          <w:rFonts w:hint="eastAsia" w:hAnsi="宋体" w:eastAsia="宋体"/>
          <w:sz w:val="21"/>
          <w:szCs w:val="21"/>
        </w:rPr>
        <w:t xml:space="preserve">年 </w:t>
      </w:r>
      <w:r>
        <w:rPr>
          <w:rFonts w:hAnsi="宋体" w:eastAsia="宋体"/>
          <w:sz w:val="21"/>
          <w:szCs w:val="21"/>
        </w:rPr>
        <w:t xml:space="preserve">  </w:t>
      </w:r>
      <w:r>
        <w:rPr>
          <w:rFonts w:hint="eastAsia" w:hAnsi="宋体" w:eastAsia="宋体"/>
          <w:sz w:val="21"/>
          <w:szCs w:val="21"/>
        </w:rPr>
        <w:t xml:space="preserve">月 </w:t>
      </w:r>
      <w:r>
        <w:rPr>
          <w:rFonts w:hAnsi="宋体" w:eastAsia="宋体"/>
          <w:sz w:val="21"/>
          <w:szCs w:val="21"/>
        </w:rPr>
        <w:t xml:space="preserve">  </w:t>
      </w:r>
      <w:r>
        <w:rPr>
          <w:rFonts w:hint="eastAsia" w:hAnsi="宋体" w:eastAsia="宋体"/>
          <w:sz w:val="21"/>
          <w:szCs w:val="21"/>
        </w:rPr>
        <w:t xml:space="preserve"> 日</w:t>
      </w:r>
      <w:r/>
    </w:p>
    <w:p>
      <w:pPr>
        <w:pStyle w:val="950"/>
        <w:jc w:val="left"/>
        <w:spacing w:line="360" w:lineRule="auto"/>
        <w:rPr>
          <w:rFonts w:hAnsi="宋体" w:eastAsia="宋体"/>
          <w:b/>
          <w:sz w:val="21"/>
          <w:szCs w:val="21"/>
        </w:rPr>
      </w:pPr>
      <w:r>
        <w:rPr>
          <w:rFonts w:hint="eastAsia" w:hAnsi="宋体" w:eastAsia="宋体"/>
          <w:sz w:val="21"/>
          <w:szCs w:val="21"/>
        </w:rPr>
        <w:br w:type="page" w:clear="all"/>
      </w:r>
      <w:bookmarkStart w:id="54" w:name="_Toc348785371"/>
      <w:r/>
      <w:bookmarkStart w:id="55" w:name="_Toc405820242"/>
      <w:r/>
      <w:bookmarkStart w:id="56" w:name="_Toc405820407"/>
      <w:r/>
      <w:bookmarkStart w:id="57" w:name="_Toc405820304"/>
      <w:r/>
      <w:bookmarkStart w:id="58" w:name="_Toc348785016"/>
      <w:r/>
      <w:bookmarkStart w:id="59" w:name="_Toc142194271"/>
      <w:r/>
      <w:bookmarkStart w:id="60" w:name="_Toc405820979"/>
      <w:r/>
      <w:bookmarkStart w:id="61" w:name="_Toc348784830"/>
      <w:r/>
      <w:bookmarkStart w:id="62" w:name="_Toc13889376"/>
      <w:r/>
      <w:bookmarkStart w:id="63" w:name="_Toc405820182"/>
      <w:r/>
      <w:bookmarkStart w:id="64" w:name="_Toc382997006"/>
      <w:r/>
      <w:bookmarkEnd w:id="45"/>
      <w:r/>
      <w:bookmarkEnd w:id="46"/>
      <w:r/>
      <w:bookmarkEnd w:id="47"/>
      <w:r/>
      <w:bookmarkEnd w:id="48"/>
      <w:r/>
      <w:bookmarkEnd w:id="49"/>
      <w:r/>
      <w:bookmarkEnd w:id="50"/>
      <w:r/>
      <w:bookmarkEnd w:id="51"/>
      <w:r/>
      <w:bookmarkEnd w:id="52"/>
      <w:r>
        <w:rPr>
          <w:rFonts w:hint="eastAsia" w:hAnsi="宋体" w:eastAsia="宋体"/>
          <w:b/>
          <w:sz w:val="21"/>
          <w:szCs w:val="21"/>
        </w:rPr>
        <w:t xml:space="preserve">九、中小企业声明函</w:t>
      </w:r>
      <w:bookmarkEnd w:id="54"/>
      <w:r/>
      <w:bookmarkEnd w:id="55"/>
      <w:r/>
      <w:bookmarkEnd w:id="56"/>
      <w:r/>
      <w:bookmarkEnd w:id="57"/>
      <w:r/>
      <w:bookmarkEnd w:id="58"/>
      <w:r/>
      <w:bookmarkEnd w:id="59"/>
      <w:r/>
      <w:bookmarkEnd w:id="60"/>
      <w:r/>
      <w:bookmarkEnd w:id="61"/>
      <w:r/>
      <w:bookmarkEnd w:id="62"/>
      <w:r/>
      <w:bookmarkEnd w:id="63"/>
      <w:r/>
      <w:bookmarkEnd w:id="64"/>
      <w:r/>
      <w:r/>
    </w:p>
    <w:p>
      <w:pPr>
        <w:jc w:val="center"/>
        <w:spacing w:line="360" w:lineRule="auto"/>
        <w:rPr>
          <w:rFonts w:ascii="宋体" w:hAnsi="宋体" w:eastAsia="宋体"/>
          <w:b/>
          <w:bCs/>
          <w:sz w:val="30"/>
          <w:szCs w:val="30"/>
        </w:rPr>
      </w:pPr>
      <w:r>
        <w:rPr>
          <w:rFonts w:hint="eastAsia" w:ascii="宋体" w:hAnsi="宋体" w:eastAsia="宋体"/>
          <w:b/>
          <w:bCs/>
          <w:sz w:val="30"/>
          <w:szCs w:val="30"/>
        </w:rPr>
        <w:t xml:space="preserve">中小企业声明函</w:t>
      </w:r>
      <w:r/>
    </w:p>
    <w:p>
      <w:pPr>
        <w:pStyle w:val="744"/>
        <w:ind w:firstLine="640"/>
        <w:jc w:val="both"/>
        <w:spacing w:before="0" w:beforeAutospacing="0" w:after="120" w:afterAutospacing="0" w:line="360" w:lineRule="auto"/>
        <w:widowControl w:val="off"/>
        <w:rPr>
          <w:sz w:val="21"/>
          <w:szCs w:val="21"/>
        </w:rPr>
      </w:pPr>
      <w:r>
        <w:rPr>
          <w:rFonts w:hint="eastAsia" w:cs="宋体"/>
          <w:spacing w:val="-2"/>
          <w:sz w:val="21"/>
          <w:szCs w:val="21"/>
          <w:lang w:bidi="ar"/>
        </w:rPr>
        <w:t xml:space="preserve">本公司</w:t>
      </w:r>
      <w:r>
        <w:rPr>
          <w:rFonts w:hint="eastAsia" w:cs="宋体"/>
          <w:sz w:val="21"/>
          <w:szCs w:val="21"/>
          <w:lang w:bidi="ar"/>
        </w:rPr>
        <w:t xml:space="preserve">（联合体</w:t>
      </w:r>
      <w:r>
        <w:rPr>
          <w:rFonts w:hint="eastAsia" w:cs="宋体"/>
          <w:spacing w:val="-5"/>
          <w:sz w:val="21"/>
          <w:szCs w:val="21"/>
          <w:lang w:bidi="ar"/>
        </w:rPr>
        <w:t xml:space="preserve">）</w:t>
      </w:r>
      <w:r>
        <w:rPr>
          <w:rFonts w:hint="eastAsia" w:cs="宋体"/>
          <w:spacing w:val="-2"/>
          <w:sz w:val="21"/>
          <w:szCs w:val="21"/>
          <w:lang w:bidi="ar"/>
        </w:rPr>
        <w:t xml:space="preserve">郑重声明，根据</w:t>
      </w:r>
      <w:r>
        <w:rPr>
          <w:rFonts w:hint="eastAsia" w:cs="宋体"/>
          <w:sz w:val="21"/>
          <w:szCs w:val="21"/>
          <w:lang w:bidi="ar"/>
        </w:rPr>
        <w:t xml:space="preserve">《关于印发&lt;苏州市政府采购促进中小企业发展实施意见&gt;的通知》（苏财购[2022]16号）的规定，本公司（联合体）</w:t>
      </w:r>
      <w:r>
        <w:rPr>
          <w:rFonts w:hint="eastAsia" w:cs="宋体"/>
          <w:spacing w:val="-8"/>
          <w:sz w:val="21"/>
          <w:szCs w:val="21"/>
          <w:lang w:bidi="ar"/>
        </w:rPr>
        <w:t xml:space="preserve">参</w:t>
      </w:r>
      <w:r>
        <w:rPr>
          <w:rFonts w:hint="eastAsia" w:cs="宋体"/>
          <w:spacing w:val="-2"/>
          <w:sz w:val="21"/>
          <w:szCs w:val="21"/>
          <w:lang w:bidi="ar"/>
        </w:rPr>
        <w:t xml:space="preserve">加</w:t>
      </w:r>
      <w:r>
        <w:rPr>
          <w:rFonts w:hint="eastAsia" w:cs="宋体"/>
          <w:spacing w:val="-2"/>
          <w:sz w:val="21"/>
          <w:szCs w:val="21"/>
          <w:u w:val="single"/>
          <w:lang w:bidi="ar"/>
        </w:rPr>
        <w:t xml:space="preserve">（单位名称）</w:t>
      </w:r>
      <w:r>
        <w:rPr>
          <w:rFonts w:hint="eastAsia" w:cs="宋体"/>
          <w:spacing w:val="-2"/>
          <w:sz w:val="21"/>
          <w:szCs w:val="21"/>
          <w:lang w:bidi="ar"/>
        </w:rPr>
        <w:t xml:space="preserve">的</w:t>
      </w:r>
      <w:r>
        <w:rPr>
          <w:rFonts w:hint="eastAsia" w:cs="宋体"/>
          <w:spacing w:val="-2"/>
          <w:sz w:val="21"/>
          <w:szCs w:val="21"/>
          <w:u w:val="single"/>
          <w:lang w:bidi="ar"/>
        </w:rPr>
        <w:t xml:space="preserve">（项目名称）</w:t>
      </w:r>
      <w:r>
        <w:rPr>
          <w:rFonts w:hint="eastAsia" w:cs="宋体"/>
          <w:spacing w:val="-2"/>
          <w:sz w:val="21"/>
          <w:szCs w:val="21"/>
          <w:lang w:bidi="ar"/>
        </w:rPr>
        <w:t xml:space="preserve">采购活</w:t>
      </w:r>
      <w:r>
        <w:rPr>
          <w:rFonts w:hint="eastAsia" w:cs="宋体"/>
          <w:spacing w:val="-1"/>
          <w:sz w:val="21"/>
          <w:szCs w:val="21"/>
          <w:lang w:bidi="ar"/>
        </w:rPr>
        <w:t xml:space="preserve">动，</w:t>
      </w:r>
      <w:r>
        <w:rPr>
          <w:rFonts w:hint="eastAsia" w:cs="宋体"/>
          <w:spacing w:val="-2"/>
          <w:sz w:val="21"/>
          <w:szCs w:val="21"/>
          <w:lang w:bidi="ar"/>
        </w:rPr>
        <w:t xml:space="preserve">提供的货物全部由符合政策要求的中小企业制造。相关企业（含联合体中的中小企业、签订分包</w:t>
      </w:r>
      <w:r>
        <w:rPr>
          <w:rFonts w:hint="eastAsia" w:cs="宋体"/>
          <w:sz w:val="21"/>
          <w:szCs w:val="21"/>
          <w:lang w:bidi="ar"/>
        </w:rPr>
        <w:t xml:space="preserve">意向协议的中小企业） 的具体情况如下：</w:t>
      </w:r>
      <w:r/>
    </w:p>
    <w:p>
      <w:pPr>
        <w:pStyle w:val="1222"/>
        <w:ind w:firstLine="472"/>
        <w:widowControl/>
        <w:rPr>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w:t>
      </w:r>
      <w:r>
        <w:rPr>
          <w:rFonts w:hint="eastAsia" w:ascii="宋体" w:hAnsi="宋体" w:cs="宋体"/>
          <w:spacing w:val="-2"/>
          <w:szCs w:val="21"/>
          <w:u w:val="single"/>
        </w:rPr>
        <w:t xml:space="preserve">（采购文件中明确的所属行业）</w:t>
      </w:r>
      <w:r>
        <w:rPr>
          <w:rFonts w:hint="eastAsia" w:ascii="宋体" w:hAnsi="宋体" w:cs="宋体"/>
          <w:spacing w:val="-2"/>
          <w:szCs w:val="21"/>
        </w:rPr>
        <w:t xml:space="preserve">行业；制造商为</w:t>
      </w:r>
      <w:r>
        <w:rPr>
          <w:rFonts w:hint="eastAsia" w:ascii="宋体" w:hAnsi="宋体" w:cs="宋体"/>
          <w:spacing w:val="-2"/>
          <w:szCs w:val="21"/>
          <w:u w:val="single"/>
        </w:rPr>
        <w:t xml:space="preserve">（企业名称）</w:t>
      </w:r>
      <w:r>
        <w:rPr>
          <w:rFonts w:hint="eastAsia" w:ascii="宋体" w:hAnsi="宋体" w:cs="宋体"/>
          <w:spacing w:val="-2"/>
          <w:szCs w:val="21"/>
        </w:rPr>
        <w:t xml:space="preserve">，从业人员</w:t>
      </w:r>
      <w:r>
        <w:rPr>
          <w:rFonts w:hint="eastAsia" w:ascii="宋体" w:hAnsi="宋体" w:cs="宋体"/>
          <w:spacing w:val="-2"/>
          <w:szCs w:val="21"/>
          <w:u w:val="single"/>
        </w:rPr>
        <w:t xml:space="preserve">     </w:t>
      </w:r>
      <w:r>
        <w:rPr>
          <w:rFonts w:hint="eastAsia" w:ascii="宋体" w:hAnsi="宋体" w:cs="宋体"/>
          <w:spacing w:val="-2"/>
          <w:szCs w:val="21"/>
        </w:rPr>
        <w:t xml:space="preserve">人，营业收入为</w:t>
      </w:r>
      <w:r>
        <w:rPr>
          <w:rFonts w:hint="eastAsia" w:ascii="宋体" w:hAnsi="宋体" w:cs="宋体"/>
          <w:spacing w:val="-2"/>
          <w:szCs w:val="21"/>
          <w:u w:val="single"/>
        </w:rPr>
        <w:t xml:space="preserve">     </w:t>
      </w:r>
      <w:r>
        <w:rPr>
          <w:rFonts w:hint="eastAsia" w:ascii="宋体" w:hAnsi="宋体" w:cs="宋体"/>
          <w:spacing w:val="-2"/>
          <w:szCs w:val="21"/>
        </w:rPr>
        <w:t xml:space="preserve">万元，资产总额为</w:t>
      </w:r>
      <w:r>
        <w:rPr>
          <w:rFonts w:hint="eastAsia" w:ascii="宋体" w:hAnsi="宋体" w:cs="宋体"/>
          <w:spacing w:val="-2"/>
          <w:szCs w:val="21"/>
          <w:u w:val="single"/>
        </w:rPr>
        <w:t xml:space="preserve">     </w:t>
      </w:r>
      <w:r>
        <w:rPr>
          <w:rFonts w:hint="eastAsia" w:ascii="宋体" w:hAnsi="宋体" w:cs="宋体"/>
          <w:spacing w:val="-2"/>
          <w:szCs w:val="21"/>
        </w:rPr>
        <w:t xml:space="preserve">万元，属于</w:t>
      </w:r>
      <w:r>
        <w:rPr>
          <w:rFonts w:hint="eastAsia" w:ascii="宋体" w:hAnsi="宋体" w:cs="宋体"/>
          <w:spacing w:val="-2"/>
          <w:szCs w:val="21"/>
          <w:u w:val="single"/>
        </w:rPr>
        <w:t xml:space="preserve">   （中型企业、小型企业、微型企业）</w:t>
      </w:r>
      <w:r>
        <w:rPr>
          <w:rFonts w:hint="eastAsia" w:ascii="宋体" w:hAnsi="宋体" w:cs="宋体"/>
          <w:spacing w:val="-2"/>
          <w:szCs w:val="21"/>
        </w:rPr>
        <w:t xml:space="preserve">；</w:t>
      </w:r>
      <w:r/>
    </w:p>
    <w:p>
      <w:pPr>
        <w:pStyle w:val="1222"/>
        <w:ind w:firstLine="472"/>
        <w:widowControl/>
        <w:rPr>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w:t>
      </w:r>
      <w:r>
        <w:rPr>
          <w:rFonts w:hint="eastAsia" w:ascii="宋体" w:hAnsi="宋体" w:cs="宋体"/>
          <w:spacing w:val="-2"/>
          <w:szCs w:val="21"/>
          <w:u w:val="single"/>
        </w:rPr>
        <w:t xml:space="preserve">（采购文件中明确的所属行业）</w:t>
      </w:r>
      <w:r>
        <w:rPr>
          <w:rFonts w:hint="eastAsia" w:ascii="宋体" w:hAnsi="宋体" w:cs="宋体"/>
          <w:spacing w:val="-2"/>
          <w:szCs w:val="21"/>
        </w:rPr>
        <w:t xml:space="preserve">行业；制造商为</w:t>
      </w:r>
      <w:r>
        <w:rPr>
          <w:rFonts w:hint="eastAsia" w:ascii="宋体" w:hAnsi="宋体" w:cs="宋体"/>
          <w:spacing w:val="-2"/>
          <w:szCs w:val="21"/>
          <w:u w:val="single"/>
        </w:rPr>
        <w:t xml:space="preserve">（企业名称）</w:t>
      </w:r>
      <w:r>
        <w:rPr>
          <w:rFonts w:hint="eastAsia" w:ascii="宋体" w:hAnsi="宋体" w:cs="宋体"/>
          <w:spacing w:val="-2"/>
          <w:szCs w:val="21"/>
        </w:rPr>
        <w:t xml:space="preserve">，从业人员</w:t>
      </w:r>
      <w:r>
        <w:rPr>
          <w:rFonts w:hint="eastAsia" w:ascii="宋体" w:hAnsi="宋体" w:cs="宋体"/>
          <w:spacing w:val="-2"/>
          <w:szCs w:val="21"/>
          <w:u w:val="single"/>
        </w:rPr>
        <w:t xml:space="preserve">     </w:t>
      </w:r>
      <w:r>
        <w:rPr>
          <w:rFonts w:hint="eastAsia" w:ascii="宋体" w:hAnsi="宋体" w:cs="宋体"/>
          <w:spacing w:val="-2"/>
          <w:szCs w:val="21"/>
        </w:rPr>
        <w:t xml:space="preserve">人，营业收入为</w:t>
      </w:r>
      <w:r>
        <w:rPr>
          <w:rFonts w:hint="eastAsia" w:ascii="宋体" w:hAnsi="宋体" w:cs="宋体"/>
          <w:spacing w:val="-2"/>
          <w:szCs w:val="21"/>
          <w:u w:val="single"/>
        </w:rPr>
        <w:t xml:space="preserve">     </w:t>
      </w:r>
      <w:r>
        <w:rPr>
          <w:rFonts w:hint="eastAsia" w:ascii="宋体" w:hAnsi="宋体" w:cs="宋体"/>
          <w:spacing w:val="-2"/>
          <w:szCs w:val="21"/>
        </w:rPr>
        <w:t xml:space="preserve">万元，资产总额为</w:t>
      </w:r>
      <w:r>
        <w:rPr>
          <w:rFonts w:hint="eastAsia" w:ascii="宋体" w:hAnsi="宋体" w:cs="宋体"/>
          <w:spacing w:val="-2"/>
          <w:szCs w:val="21"/>
          <w:u w:val="single"/>
        </w:rPr>
        <w:t xml:space="preserve">     </w:t>
      </w:r>
      <w:r>
        <w:rPr>
          <w:rFonts w:hint="eastAsia" w:ascii="宋体" w:hAnsi="宋体" w:cs="宋体"/>
          <w:spacing w:val="-2"/>
          <w:szCs w:val="21"/>
        </w:rPr>
        <w:t xml:space="preserve">万元，属于</w:t>
      </w:r>
      <w:r>
        <w:rPr>
          <w:rFonts w:hint="eastAsia" w:ascii="宋体" w:hAnsi="宋体" w:cs="宋体"/>
          <w:spacing w:val="-2"/>
          <w:szCs w:val="21"/>
          <w:u w:val="single"/>
        </w:rPr>
        <w:t xml:space="preserve">     （中型企业、小型企业、微型企业）</w:t>
      </w:r>
      <w:r>
        <w:rPr>
          <w:rFonts w:hint="eastAsia" w:ascii="宋体" w:hAnsi="宋体" w:cs="宋体"/>
          <w:spacing w:val="-2"/>
          <w:szCs w:val="21"/>
        </w:rPr>
        <w:t xml:space="preserve">；</w:t>
      </w:r>
      <w:r/>
    </w:p>
    <w:p>
      <w:pPr>
        <w:pStyle w:val="744"/>
        <w:jc w:val="both"/>
        <w:spacing w:before="0" w:beforeAutospacing="0" w:after="120" w:afterAutospacing="0" w:line="360" w:lineRule="auto"/>
        <w:widowControl w:val="off"/>
        <w:rPr>
          <w:sz w:val="21"/>
          <w:szCs w:val="21"/>
        </w:rPr>
      </w:pPr>
      <w:r>
        <w:rPr>
          <w:rFonts w:hint="eastAsia" w:cs="宋体"/>
          <w:spacing w:val="-2"/>
          <w:sz w:val="21"/>
          <w:szCs w:val="21"/>
          <w:lang w:bidi="ar"/>
        </w:rPr>
        <w:t xml:space="preserve">……</w:t>
      </w:r>
      <w:r/>
    </w:p>
    <w:p>
      <w:pPr>
        <w:pStyle w:val="744"/>
        <w:ind w:firstLine="645"/>
        <w:jc w:val="both"/>
        <w:spacing w:before="0" w:beforeAutospacing="0" w:after="120" w:afterAutospacing="0" w:line="360" w:lineRule="auto"/>
        <w:widowControl w:val="off"/>
        <w:rPr>
          <w:sz w:val="21"/>
          <w:szCs w:val="21"/>
        </w:rPr>
      </w:pPr>
      <w:r>
        <w:rPr>
          <w:rFonts w:hint="eastAsia" w:cs="宋体"/>
          <w:spacing w:val="-3"/>
          <w:sz w:val="21"/>
          <w:szCs w:val="21"/>
          <w:lang w:bidi="ar"/>
        </w:rPr>
        <w:t xml:space="preserve">以上企业，不属于大企业的分支机构，不存在控股股东</w:t>
      </w:r>
      <w:r>
        <w:rPr>
          <w:rFonts w:hint="eastAsia" w:cs="宋体"/>
          <w:spacing w:val="-5"/>
          <w:sz w:val="21"/>
          <w:szCs w:val="21"/>
          <w:lang w:bidi="ar"/>
        </w:rPr>
        <w:t xml:space="preserve">为大企业的情形，也不存在与大企业的负责人为同一人的情形。</w:t>
      </w:r>
      <w:r/>
    </w:p>
    <w:p>
      <w:pPr>
        <w:pStyle w:val="744"/>
        <w:ind w:firstLine="645"/>
        <w:jc w:val="both"/>
        <w:spacing w:before="0" w:beforeAutospacing="0" w:after="0" w:afterAutospacing="0" w:line="360" w:lineRule="auto"/>
        <w:widowControl w:val="off"/>
        <w:rPr>
          <w:sz w:val="21"/>
          <w:szCs w:val="21"/>
        </w:rPr>
      </w:pPr>
      <w:r>
        <w:rPr>
          <w:rFonts w:hint="eastAsia" w:cs="宋体"/>
          <w:sz w:val="21"/>
          <w:szCs w:val="21"/>
          <w:lang w:bidi="ar"/>
        </w:rPr>
        <w:t xml:space="preserve">本企业对上述声明内容的真实性负责。如有虚假，将依法承担相应责任。</w:t>
      </w:r>
      <w:r/>
    </w:p>
    <w:p>
      <w:pPr>
        <w:ind w:firstLine="600"/>
        <w:spacing w:line="360" w:lineRule="auto"/>
        <w:rPr>
          <w:sz w:val="21"/>
          <w:szCs w:val="21"/>
        </w:rPr>
      </w:pPr>
      <w:r>
        <w:rPr>
          <w:sz w:val="21"/>
          <w:szCs w:val="21"/>
        </w:rPr>
      </w:r>
      <w:r/>
    </w:p>
    <w:p>
      <w:pPr>
        <w:pStyle w:val="744"/>
        <w:ind w:firstLine="240"/>
        <w:jc w:val="both"/>
        <w:spacing w:before="0" w:beforeAutospacing="0" w:after="0" w:afterAutospacing="0" w:line="360" w:lineRule="auto"/>
        <w:widowControl w:val="off"/>
        <w:rPr>
          <w:sz w:val="21"/>
          <w:szCs w:val="21"/>
        </w:rPr>
      </w:pPr>
      <w:r>
        <w:rPr>
          <w:sz w:val="21"/>
          <w:szCs w:val="21"/>
        </w:rPr>
      </w:r>
      <w:r/>
    </w:p>
    <w:p>
      <w:pPr>
        <w:jc w:val="center"/>
        <w:spacing w:line="360" w:lineRule="auto"/>
        <w:rPr>
          <w:sz w:val="21"/>
          <w:szCs w:val="21"/>
        </w:rPr>
      </w:pPr>
      <w:r>
        <w:rPr>
          <w:rFonts w:hint="eastAsia" w:ascii="宋体" w:hAnsi="宋体" w:eastAsia="宋体" w:cs="宋体"/>
          <w:sz w:val="21"/>
          <w:szCs w:val="21"/>
          <w:lang w:bidi="ar"/>
        </w:rPr>
        <w:t xml:space="preserve">                                                 投标单位：（盖章）</w:t>
      </w:r>
      <w:r/>
    </w:p>
    <w:p>
      <w:pPr>
        <w:jc w:val="center"/>
        <w:spacing w:line="360" w:lineRule="auto"/>
        <w:rPr>
          <w:sz w:val="21"/>
          <w:szCs w:val="21"/>
        </w:rPr>
      </w:pPr>
      <w:r>
        <w:rPr>
          <w:rFonts w:hint="eastAsia" w:ascii="宋体" w:hAnsi="宋体" w:eastAsia="宋体" w:cs="宋体"/>
          <w:sz w:val="21"/>
          <w:szCs w:val="21"/>
          <w:lang w:bidi="ar"/>
        </w:rPr>
        <w:t xml:space="preserve">                                                   </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 日    期：</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 日</w:t>
      </w:r>
      <w:r/>
    </w:p>
    <w:p>
      <w:pPr>
        <w:rPr>
          <w:rFonts w:hAnsi="宋体" w:eastAsia="宋体"/>
          <w:b/>
          <w:sz w:val="21"/>
          <w:szCs w:val="21"/>
        </w:rPr>
      </w:pPr>
      <w:r>
        <w:rPr>
          <w:rFonts w:ascii="宋体" w:hAnsi="宋体" w:eastAsia="宋体"/>
          <w:sz w:val="21"/>
          <w:szCs w:val="21"/>
        </w:rPr>
        <w:br w:type="page" w:clear="all"/>
      </w:r>
      <w:r/>
    </w:p>
    <w:p>
      <w:pPr>
        <w:pStyle w:val="950"/>
        <w:jc w:val="left"/>
        <w:spacing w:line="360" w:lineRule="auto"/>
        <w:rPr>
          <w:rFonts w:hAnsi="宋体" w:eastAsia="宋体"/>
          <w:b/>
          <w:sz w:val="21"/>
          <w:szCs w:val="21"/>
        </w:rPr>
      </w:pPr>
      <w:r>
        <w:rPr>
          <w:rFonts w:hint="eastAsia" w:hAnsi="宋体" w:eastAsia="宋体"/>
          <w:b/>
          <w:sz w:val="21"/>
          <w:szCs w:val="21"/>
        </w:rPr>
        <w:t xml:space="preserve">十、残疾人福利性单位声明函</w:t>
      </w:r>
      <w:r/>
    </w:p>
    <w:p>
      <w:pPr>
        <w:jc w:val="center"/>
        <w:spacing w:line="360" w:lineRule="auto"/>
        <w:rPr>
          <w:rFonts w:ascii="宋体" w:hAnsi="宋体" w:eastAsia="宋体" w:cs="宋体"/>
          <w:sz w:val="30"/>
          <w:szCs w:val="30"/>
          <w:u w:val="single"/>
          <w:lang w:val="zh-CN"/>
        </w:rPr>
      </w:pPr>
      <w:r>
        <w:rPr>
          <w:rFonts w:hint="eastAsia" w:ascii="宋体" w:hAnsi="宋体" w:eastAsia="宋体" w:cs="宋体"/>
          <w:b/>
          <w:sz w:val="30"/>
          <w:szCs w:val="30"/>
          <w:lang w:val="zh-CN"/>
        </w:rPr>
        <w:t xml:space="preserve">残疾人福利性单位声明函</w:t>
      </w:r>
      <w:r/>
    </w:p>
    <w:p>
      <w:pPr>
        <w:jc w:val="center"/>
        <w:spacing w:line="360" w:lineRule="auto"/>
        <w:rPr>
          <w:rFonts w:ascii="宋体" w:hAnsi="宋体" w:eastAsia="宋体" w:cs="宋体"/>
          <w:sz w:val="24"/>
          <w:szCs w:val="24"/>
          <w:u w:val="single"/>
          <w:lang w:val="zh-CN"/>
        </w:rPr>
      </w:pPr>
      <w:r>
        <w:rPr>
          <w:rFonts w:ascii="宋体" w:hAnsi="宋体" w:eastAsia="宋体" w:cs="宋体"/>
          <w:sz w:val="24"/>
          <w:szCs w:val="24"/>
          <w:u w:val="single"/>
          <w:lang w:val="zh-CN"/>
        </w:rPr>
      </w:r>
      <w:r/>
    </w:p>
    <w:p>
      <w:pPr>
        <w:spacing w:line="360" w:lineRule="auto"/>
        <w:rPr>
          <w:rFonts w:ascii="宋体" w:hAnsi="宋体" w:eastAsia="宋体" w:cs="宋体"/>
          <w:sz w:val="21"/>
          <w:szCs w:val="24"/>
          <w:lang w:val="zh-CN"/>
        </w:rPr>
      </w:pPr>
      <w:r>
        <w:rPr>
          <w:rFonts w:hint="eastAsia" w:ascii="宋体" w:hAnsi="宋体" w:eastAsia="宋体" w:cs="宋体"/>
          <w:sz w:val="21"/>
          <w:szCs w:val="24"/>
          <w:u w:val="single"/>
          <w:lang w:val="zh-CN"/>
        </w:rPr>
        <w:t xml:space="preserve">苏州公正建设咨询房地产评估有限公司</w:t>
      </w:r>
      <w:r>
        <w:rPr>
          <w:rFonts w:hint="eastAsia" w:ascii="宋体" w:hAnsi="宋体" w:eastAsia="宋体" w:cs="宋体"/>
          <w:sz w:val="21"/>
          <w:szCs w:val="24"/>
          <w:lang w:val="zh-CN"/>
        </w:rPr>
        <w:t xml:space="preserve">：</w:t>
      </w:r>
      <w:r/>
    </w:p>
    <w:p>
      <w:pPr>
        <w:jc w:val="left"/>
        <w:spacing w:line="360" w:lineRule="auto"/>
        <w:rPr>
          <w:rFonts w:ascii="宋体" w:hAnsi="宋体" w:eastAsia="宋体"/>
          <w:b/>
          <w:sz w:val="21"/>
          <w:szCs w:val="21"/>
        </w:rPr>
      </w:pPr>
      <w:r>
        <w:rPr>
          <w:rFonts w:ascii="宋体" w:hAnsi="宋体" w:eastAsia="宋体"/>
          <w:b/>
          <w:sz w:val="21"/>
          <w:szCs w:val="21"/>
        </w:rPr>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ind w:firstLine="420"/>
        <w:spacing w:line="360" w:lineRule="auto"/>
        <w:rPr>
          <w:rFonts w:ascii="宋体" w:hAnsi="宋体" w:eastAsia="宋体" w:cs="宋体"/>
          <w:sz w:val="21"/>
          <w:szCs w:val="21"/>
          <w:lang w:val="zh-CN"/>
        </w:rPr>
      </w:pPr>
      <w:r>
        <w:rPr>
          <w:rFonts w:ascii="宋体" w:hAnsi="宋体" w:eastAsia="宋体" w:cs="宋体"/>
          <w:sz w:val="21"/>
          <w:szCs w:val="21"/>
          <w:lang w:val="zh-CN"/>
        </w:rPr>
      </w:r>
      <w:r/>
    </w:p>
    <w:p>
      <w:pPr>
        <w:ind w:firstLine="420"/>
        <w:spacing w:line="360" w:lineRule="auto"/>
        <w:rPr>
          <w:rFonts w:ascii="宋体" w:hAnsi="宋体" w:eastAsia="宋体" w:cs="宋体"/>
          <w:sz w:val="21"/>
          <w:szCs w:val="21"/>
          <w:lang w:val="zh-CN"/>
        </w:rPr>
      </w:pPr>
      <w:r>
        <w:rPr>
          <w:rFonts w:hint="eastAsia" w:ascii="宋体" w:hAnsi="宋体" w:eastAsia="宋体"/>
          <w:sz w:val="21"/>
          <w:szCs w:val="21"/>
        </w:rPr>
        <w:t xml:space="preserve">投标人：（盖章）</w:t>
      </w:r>
      <w:r/>
    </w:p>
    <w:p>
      <w:pPr>
        <w:pStyle w:val="950"/>
        <w:ind w:firstLine="420"/>
        <w:spacing w:line="360" w:lineRule="auto"/>
        <w:rPr>
          <w:rFonts w:hAnsi="宋体" w:eastAsia="宋体"/>
          <w:sz w:val="21"/>
          <w:szCs w:val="21"/>
        </w:rPr>
      </w:pPr>
      <w:r>
        <w:rPr>
          <w:rFonts w:hint="eastAsia" w:hAnsi="宋体" w:eastAsia="宋体"/>
          <w:sz w:val="21"/>
          <w:szCs w:val="21"/>
        </w:rPr>
        <w:t xml:space="preserve">法定代表人或代理人：（签字或盖章）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日期： </w:t>
      </w:r>
      <w:r>
        <w:rPr>
          <w:rFonts w:ascii="宋体" w:hAnsi="宋体" w:eastAsia="宋体"/>
          <w:sz w:val="21"/>
          <w:szCs w:val="21"/>
        </w:rPr>
        <w:t xml:space="preserve">   </w:t>
      </w:r>
      <w:r>
        <w:rPr>
          <w:rFonts w:hint="eastAsia" w:ascii="宋体" w:hAnsi="宋体" w:eastAsia="宋体"/>
          <w:sz w:val="21"/>
          <w:szCs w:val="21"/>
        </w:rPr>
        <w:t xml:space="preserve">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 日</w:t>
      </w:r>
      <w:r/>
    </w:p>
    <w:p>
      <w:pPr>
        <w:spacing w:line="360" w:lineRule="auto"/>
        <w:rPr>
          <w:rFonts w:ascii="宋体" w:hAnsi="宋体" w:eastAsia="宋体" w:cs="宋体"/>
          <w:sz w:val="21"/>
          <w:szCs w:val="21"/>
        </w:rPr>
      </w:pPr>
      <w:r>
        <w:rPr>
          <w:rFonts w:ascii="宋体" w:hAnsi="宋体" w:eastAsia="宋体" w:cs="宋体"/>
          <w:sz w:val="21"/>
          <w:szCs w:val="21"/>
        </w:rPr>
      </w:r>
      <w:r/>
    </w:p>
    <w:p>
      <w:pPr>
        <w:pStyle w:val="950"/>
        <w:jc w:val="left"/>
        <w:spacing w:line="360" w:lineRule="auto"/>
        <w:rPr>
          <w:rFonts w:hAnsi="宋体" w:eastAsia="宋体"/>
          <w:b/>
          <w:sz w:val="21"/>
          <w:szCs w:val="21"/>
        </w:rPr>
      </w:pPr>
      <w:r>
        <w:rPr>
          <w:rFonts w:hint="eastAsia" w:hAnsi="宋体" w:eastAsia="宋体"/>
          <w:b/>
          <w:sz w:val="21"/>
          <w:szCs w:val="21"/>
        </w:rPr>
        <w:br w:type="page" w:clear="all"/>
      </w:r>
      <w:bookmarkStart w:id="65" w:name="_Toc35951274"/>
      <w:r>
        <w:rPr>
          <w:rFonts w:hint="eastAsia" w:hAnsi="宋体" w:eastAsia="宋体"/>
          <w:b/>
          <w:sz w:val="21"/>
          <w:szCs w:val="21"/>
        </w:rPr>
        <w:t xml:space="preserve">十一、投标保证承诺书</w:t>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投标保证承诺书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4"/>
          <w:u w:val="single"/>
          <w:lang w:val="zh-CN"/>
        </w:rPr>
        <w:t xml:space="preserve">苏州公正建设咨询房地产评估有限公司</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我（单位/本人，以下统称我单位）自愿参加（项目名称和采购编号）的投标,并做出如下承诺：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一、除不可抗力外，我单位如果发生以下行为，将在行为发生的10个工作日内，向贵方支付本采购文件公布的预算金额的2%作为违约赔偿金。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1.自投标截止时间至本项目发布中标公告为止，撤销投标；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2.中标后不依法与采购人签订合同；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3.中标后不按本采购文件规定向采购人提交履约保证金；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4.中标后不按本采购文件规定向贵方缴纳采购代理费。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二、我单位知晓上述行为的法律后果，承认本承诺书作为贵方要求我单位履行违约赔偿义务的依据作用。</w:t>
      </w:r>
      <w:r/>
    </w:p>
    <w:p>
      <w:pPr>
        <w:ind w:firstLine="42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投标人：（盖章）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地址：</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电话：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传真：</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电子邮件：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邮编：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日期：</w:t>
      </w:r>
      <w:r/>
    </w:p>
    <w:p>
      <w:pPr>
        <w:jc w:val="center"/>
        <w:rPr>
          <w:rFonts w:ascii="宋体" w:hAnsi="宋体" w:eastAsia="宋体"/>
          <w:b/>
          <w:sz w:val="32"/>
          <w:szCs w:val="32"/>
        </w:rPr>
      </w:pPr>
      <w:r>
        <w:rPr>
          <w:rFonts w:ascii="宋体" w:hAnsi="宋体" w:eastAsia="宋体" w:cs="宋体"/>
          <w:bCs/>
          <w:sz w:val="24"/>
          <w:szCs w:val="24"/>
        </w:rPr>
        <w:br w:type="page" w:clear="all"/>
      </w:r>
      <w:r>
        <w:rPr>
          <w:rFonts w:hint="eastAsia" w:ascii="宋体" w:hAnsi="宋体" w:eastAsia="宋体"/>
          <w:b/>
          <w:sz w:val="32"/>
          <w:szCs w:val="32"/>
        </w:rPr>
        <w:t xml:space="preserve">第四章 招标书</w:t>
      </w:r>
      <w:bookmarkEnd w:id="65"/>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苏州公正建设咨询房地产评估有限公司受苏州市相城区黄埭镇人民政府的委托，就其所需的黄埭镇东桥消防救援站消防装备采购进行国内公开招标。欢迎符合资格条件的供应商前来参加投标。</w:t>
      </w:r>
      <w:r/>
    </w:p>
    <w:p>
      <w:pPr>
        <w:ind w:firstLine="422"/>
        <w:spacing w:line="360" w:lineRule="auto"/>
        <w:tabs>
          <w:tab w:val="left" w:pos="567" w:leader="none"/>
        </w:tabs>
        <w:rPr>
          <w:rFonts w:ascii="宋体" w:hAnsi="宋体" w:eastAsia="宋体" w:cs="宋体"/>
          <w:b/>
          <w:sz w:val="21"/>
          <w:szCs w:val="21"/>
        </w:rPr>
      </w:pPr>
      <w:r>
        <w:rPr>
          <w:rFonts w:hint="eastAsia" w:ascii="宋体" w:hAnsi="宋体" w:eastAsia="宋体" w:cs="宋体"/>
          <w:b/>
          <w:sz w:val="21"/>
          <w:szCs w:val="21"/>
        </w:rPr>
        <w:t xml:space="preserve">一、采购编号：</w:t>
      </w:r>
      <w:r>
        <w:rPr>
          <w:rFonts w:hint="eastAsia" w:ascii="宋体" w:hAnsi="宋体" w:eastAsia="宋体" w:cs="宋体"/>
          <w:b/>
          <w:sz w:val="21"/>
          <w:szCs w:val="21"/>
        </w:rPr>
        <w:t xml:space="preserve">JSZC-320507-SZGZ-G2025-0167</w:t>
      </w:r>
      <w:r/>
    </w:p>
    <w:p>
      <w:pPr>
        <w:ind w:firstLine="422"/>
        <w:spacing w:line="360" w:lineRule="auto"/>
        <w:tabs>
          <w:tab w:val="left" w:pos="567" w:leader="none"/>
        </w:tabs>
        <w:rPr>
          <w:rFonts w:ascii="宋体" w:hAnsi="宋体" w:eastAsia="宋体" w:cs="宋体"/>
          <w:b/>
          <w:sz w:val="21"/>
          <w:szCs w:val="21"/>
        </w:rPr>
      </w:pPr>
      <w:r>
        <w:rPr>
          <w:rFonts w:hint="eastAsia" w:ascii="宋体" w:hAnsi="宋体" w:eastAsia="宋体" w:cs="宋体"/>
          <w:b/>
          <w:sz w:val="21"/>
          <w:szCs w:val="21"/>
        </w:rPr>
        <w:t xml:space="preserve">二、采购项目名称：黄埭镇东桥消防救援站消防装备采购</w:t>
      </w:r>
      <w:r/>
    </w:p>
    <w:p>
      <w:pPr>
        <w:ind w:firstLine="422"/>
        <w:spacing w:line="360" w:lineRule="auto"/>
        <w:tabs>
          <w:tab w:val="left" w:pos="567" w:leader="none"/>
        </w:tabs>
        <w:rPr>
          <w:rFonts w:ascii="宋体" w:hAnsi="宋体" w:eastAsia="宋体" w:cs="宋体"/>
          <w:b/>
          <w:sz w:val="21"/>
          <w:szCs w:val="21"/>
        </w:rPr>
      </w:pPr>
      <w:r>
        <w:rPr>
          <w:rFonts w:hint="eastAsia" w:ascii="宋体" w:hAnsi="宋体" w:eastAsia="宋体" w:cs="宋体"/>
          <w:b/>
          <w:sz w:val="21"/>
          <w:szCs w:val="21"/>
        </w:rPr>
        <w:t xml:space="preserve">三、</w:t>
      </w:r>
      <w:r>
        <w:rPr>
          <w:rFonts w:hint="eastAsia" w:ascii="宋体" w:hAnsi="宋体" w:eastAsia="宋体" w:cs="宋体"/>
          <w:b/>
          <w:sz w:val="21"/>
          <w:szCs w:val="21"/>
        </w:rPr>
        <w:t xml:space="preserve">三标段</w:t>
      </w:r>
      <w:r>
        <w:rPr>
          <w:rFonts w:hint="eastAsia" w:ascii="宋体" w:hAnsi="宋体" w:eastAsia="宋体" w:cs="宋体"/>
          <w:b/>
          <w:sz w:val="21"/>
          <w:szCs w:val="21"/>
        </w:rPr>
        <w:t xml:space="preserve">预算</w:t>
      </w:r>
      <w:r>
        <w:rPr>
          <w:rFonts w:hint="eastAsia" w:ascii="宋体" w:hAnsi="宋体" w:eastAsia="宋体" w:cs="宋体"/>
          <w:b/>
          <w:sz w:val="21"/>
          <w:szCs w:val="21"/>
        </w:rPr>
        <w:t xml:space="preserve">金额：人民币壹佰柒拾肆万零捌佰元整（￥1740800.00元）</w:t>
      </w:r>
      <w:r/>
    </w:p>
    <w:p>
      <w:pPr>
        <w:pStyle w:val="713"/>
        <w:ind w:firstLine="420"/>
      </w:pPr>
      <w:r>
        <w:rPr>
          <w:rFonts w:hint="eastAsia" w:ascii="宋体" w:hAnsi="宋体" w:eastAsia="宋体"/>
          <w:sz w:val="21"/>
          <w:szCs w:val="21"/>
        </w:rPr>
        <w:t xml:space="preserve">供货期限：合同签订之日起三个月内交付完毕，具体以合同签订时间为准。</w:t>
      </w:r>
      <w:r/>
    </w:p>
    <w:p>
      <w:pPr>
        <w:ind w:firstLine="422"/>
        <w:spacing w:line="360" w:lineRule="auto"/>
        <w:tabs>
          <w:tab w:val="left" w:pos="567" w:leader="none"/>
        </w:tabs>
        <w:rPr>
          <w:rFonts w:ascii="宋体" w:hAnsi="宋体" w:eastAsia="宋体" w:cs="宋体"/>
          <w:b/>
          <w:sz w:val="21"/>
          <w:szCs w:val="21"/>
        </w:rPr>
      </w:pPr>
      <w:r>
        <w:rPr>
          <w:rFonts w:hint="eastAsia" w:ascii="宋体" w:hAnsi="宋体" w:eastAsia="宋体" w:cs="宋体"/>
          <w:b/>
          <w:sz w:val="21"/>
          <w:szCs w:val="21"/>
        </w:rPr>
        <w:t xml:space="preserve">四、采购需求：</w:t>
      </w:r>
      <w:r/>
    </w:p>
    <w:p>
      <w:pPr>
        <w:ind w:firstLine="422"/>
        <w:spacing w:line="360" w:lineRule="auto"/>
        <w:tabs>
          <w:tab w:val="left" w:pos="567" w:leader="none"/>
        </w:tabs>
        <w:rPr>
          <w:rFonts w:ascii="宋体" w:hAnsi="宋体" w:eastAsia="宋体" w:cs="宋体"/>
          <w:b/>
          <w:bCs/>
          <w:sz w:val="21"/>
          <w:szCs w:val="21"/>
        </w:rPr>
      </w:pPr>
      <w:r/>
      <w:bookmarkStart w:id="66" w:name="_Toc150333277"/>
      <w:r/>
      <w:bookmarkStart w:id="67" w:name="_Toc132900419"/>
      <w:r>
        <w:rPr>
          <w:rFonts w:hint="eastAsia" w:ascii="宋体" w:hAnsi="宋体" w:eastAsia="宋体" w:cs="宋体"/>
          <w:b/>
          <w:bCs/>
          <w:sz w:val="21"/>
          <w:szCs w:val="21"/>
        </w:rPr>
        <w:t xml:space="preserve">（一）采购清单：</w:t>
      </w:r>
      <w:r/>
    </w:p>
    <w:p>
      <w:pPr>
        <w:ind w:firstLine="422"/>
        <w:spacing w:line="360" w:lineRule="auto"/>
        <w:tabs>
          <w:tab w:val="left" w:pos="567" w:leader="none"/>
        </w:tabs>
        <w:rPr>
          <w:rFonts w:ascii="宋体" w:hAnsi="宋体" w:eastAsia="宋体" w:cs="宋体"/>
          <w:b/>
          <w:bCs/>
          <w:sz w:val="21"/>
          <w:szCs w:val="21"/>
        </w:rPr>
      </w:pPr>
      <w:r>
        <w:rPr>
          <w:rFonts w:hint="eastAsia" w:ascii="宋体" w:hAnsi="宋体" w:eastAsia="宋体" w:cs="宋体"/>
          <w:b/>
          <w:bCs/>
          <w:sz w:val="21"/>
          <w:szCs w:val="21"/>
        </w:rPr>
        <w:t xml:space="preserve">三标段清单：</w:t>
      </w:r>
      <w:r/>
    </w:p>
    <w:tbl>
      <w:tblPr>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708"/>
        <w:gridCol w:w="709"/>
        <w:gridCol w:w="6451"/>
      </w:tblGrid>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器材名称</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数量</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单位</w:t>
            </w:r>
            <w:r/>
          </w:p>
        </w:tc>
        <w:tc>
          <w:tcPr>
            <w:shd w:val="clear" w:color="auto" w:fill="auto"/>
            <w:tcW w:w="6451"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技术要求</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b/>
                <w:sz w:val="21"/>
              </w:rPr>
            </w:pPr>
            <w:r>
              <w:rPr>
                <w:rFonts w:hint="eastAsia" w:ascii="宋体" w:hAnsi="宋体" w:eastAsia="宋体" w:cs="宋体"/>
                <w:b/>
                <w:sz w:val="21"/>
              </w:rPr>
              <w:t xml:space="preserve">※</w:t>
            </w:r>
            <w:r>
              <w:rPr>
                <w:rFonts w:hint="eastAsia" w:ascii="宋体" w:hAnsi="宋体" w:eastAsia="宋体" w:cs="宋体"/>
                <w:b/>
                <w:sz w:val="21"/>
              </w:rPr>
              <w:t xml:space="preserve">正压式空气呼吸器（6.8L)</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36</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具</w:t>
            </w:r>
            <w:r/>
          </w:p>
        </w:tc>
        <w:tc>
          <w:tcPr>
            <w:shd w:val="clear" w:color="auto" w:fill="auto"/>
            <w:tcW w:w="6451" w:type="dxa"/>
            <w:vAlign w:val="center"/>
            <w:textDirection w:val="lrTb"/>
            <w:noWrap w:val="false"/>
          </w:tcPr>
          <w:p>
            <w:pPr>
              <w:pStyle w:val="713"/>
              <w:rPr>
                <w:rFonts w:ascii="宋体" w:hAnsi="宋体" w:eastAsia="宋体"/>
                <w:sz w:val="21"/>
              </w:rPr>
            </w:pPr>
            <w:r>
              <w:rPr>
                <w:rFonts w:ascii="宋体" w:hAnsi="宋体" w:eastAsia="宋体"/>
                <w:sz w:val="21"/>
              </w:rPr>
              <w:t xml:space="preserve">1.</w:t>
            </w:r>
            <w:r>
              <w:rPr>
                <w:rFonts w:hint="eastAsia" w:ascii="宋体" w:hAnsi="宋体" w:eastAsia="宋体"/>
                <w:sz w:val="21"/>
              </w:rPr>
              <w:t xml:space="preserve">正压式空气呼吸器需符合</w:t>
            </w:r>
            <w:r>
              <w:rPr>
                <w:rFonts w:ascii="宋体" w:hAnsi="宋体" w:eastAsia="宋体"/>
                <w:sz w:val="21"/>
              </w:rPr>
              <w:t xml:space="preserve">XF(GA)124-2013</w:t>
            </w:r>
            <w:r>
              <w:rPr>
                <w:rFonts w:hint="eastAsia" w:ascii="宋体" w:hAnsi="宋体" w:eastAsia="宋体"/>
                <w:sz w:val="21"/>
              </w:rPr>
              <w:t xml:space="preserve">《正压式消防空气呼吸器》标准。</w:t>
            </w:r>
            <w:r/>
          </w:p>
          <w:p>
            <w:pPr>
              <w:pStyle w:val="713"/>
              <w:rPr>
                <w:rFonts w:ascii="宋体" w:hAnsi="宋体" w:eastAsia="宋体"/>
                <w:sz w:val="21"/>
              </w:rPr>
            </w:pPr>
            <w:r>
              <w:rPr>
                <w:rFonts w:ascii="宋体" w:hAnsi="宋体" w:eastAsia="宋体"/>
                <w:sz w:val="21"/>
              </w:rPr>
              <w:t xml:space="preserve">2.</w:t>
            </w:r>
            <w:r>
              <w:rPr>
                <w:rFonts w:hint="eastAsia" w:ascii="宋体" w:hAnsi="宋体" w:eastAsia="宋体"/>
                <w:sz w:val="21"/>
              </w:rPr>
              <w:t xml:space="preserve">正压式空气呼吸器全面罩、供气阀、减压器、警报器、背具、压力平视装置等配件为同一品牌。</w:t>
            </w:r>
            <w:r/>
          </w:p>
          <w:p>
            <w:pPr>
              <w:pStyle w:val="713"/>
              <w:rPr>
                <w:rFonts w:ascii="宋体" w:hAnsi="宋体" w:eastAsia="宋体"/>
                <w:sz w:val="21"/>
              </w:rPr>
            </w:pPr>
            <w:r>
              <w:rPr>
                <w:rFonts w:ascii="宋体" w:hAnsi="宋体" w:eastAsia="宋体"/>
                <w:sz w:val="21"/>
              </w:rPr>
              <w:t xml:space="preserve">3.</w:t>
            </w:r>
            <w:r>
              <w:rPr>
                <w:rFonts w:hint="eastAsia" w:ascii="宋体" w:hAnsi="宋体" w:eastAsia="宋体"/>
                <w:sz w:val="21"/>
              </w:rPr>
              <w:t xml:space="preserve">呼吸器的结构应简单紧凑，可在无人帮助的情况下自行佩戴和使用，在狭小的通道通行时呼吸器不应被攀挂。</w:t>
            </w:r>
            <w:r/>
          </w:p>
          <w:p>
            <w:pPr>
              <w:pStyle w:val="713"/>
              <w:rPr>
                <w:rFonts w:ascii="宋体" w:hAnsi="宋体" w:eastAsia="宋体"/>
                <w:sz w:val="21"/>
              </w:rPr>
            </w:pPr>
            <w:r>
              <w:rPr>
                <w:rFonts w:ascii="宋体" w:hAnsi="宋体" w:eastAsia="宋体"/>
                <w:sz w:val="21"/>
              </w:rPr>
              <w:t xml:space="preserve">4.</w:t>
            </w:r>
            <w:r>
              <w:rPr>
                <w:rFonts w:hint="eastAsia" w:ascii="宋体" w:hAnsi="宋体" w:eastAsia="宋体"/>
                <w:sz w:val="21"/>
              </w:rPr>
              <w:t xml:space="preserve">压力表在气瓶瓶阀打开后应显示气瓶压力，其安装位置应方便佩戴者观察到压力值。</w:t>
            </w:r>
            <w:r/>
          </w:p>
          <w:p>
            <w:pPr>
              <w:pStyle w:val="713"/>
              <w:rPr>
                <w:rFonts w:ascii="宋体" w:hAnsi="宋体" w:eastAsia="宋体"/>
                <w:sz w:val="21"/>
              </w:rPr>
            </w:pPr>
            <w:r>
              <w:rPr>
                <w:rFonts w:ascii="宋体" w:hAnsi="宋体" w:eastAsia="宋体"/>
                <w:sz w:val="21"/>
              </w:rPr>
              <w:t xml:space="preserve">5.</w:t>
            </w:r>
            <w:r>
              <w:rPr>
                <w:rFonts w:hint="eastAsia" w:ascii="宋体" w:hAnsi="宋体" w:eastAsia="宋体"/>
                <w:sz w:val="21"/>
              </w:rPr>
              <w:t xml:space="preserve">压力平视显示装置应采用</w:t>
            </w:r>
            <w:r>
              <w:rPr>
                <w:rFonts w:ascii="宋体" w:hAnsi="宋体" w:eastAsia="宋体"/>
                <w:sz w:val="21"/>
              </w:rPr>
              <w:t xml:space="preserve">LED</w:t>
            </w:r>
            <w:r>
              <w:rPr>
                <w:rFonts w:hint="eastAsia" w:ascii="宋体" w:hAnsi="宋体" w:eastAsia="宋体"/>
                <w:sz w:val="21"/>
              </w:rPr>
              <w:t xml:space="preserve">显示方式，当气瓶压力在</w:t>
            </w:r>
            <w:r>
              <w:rPr>
                <w:rFonts w:ascii="宋体" w:hAnsi="宋体" w:eastAsia="宋体"/>
                <w:sz w:val="21"/>
              </w:rPr>
              <w:t xml:space="preserve">(30</w:t>
            </w:r>
            <w:r>
              <w:rPr>
                <w:rFonts w:hint="eastAsia" w:ascii="宋体" w:hAnsi="宋体" w:eastAsia="宋体"/>
                <w:sz w:val="21"/>
              </w:rPr>
              <w:t xml:space="preserve">～</w:t>
            </w:r>
            <w:r>
              <w:rPr>
                <w:rFonts w:ascii="宋体" w:hAnsi="宋体" w:eastAsia="宋体"/>
                <w:sz w:val="21"/>
              </w:rPr>
              <w:t xml:space="preserve">10)MPa</w:t>
            </w:r>
            <w:r>
              <w:rPr>
                <w:rFonts w:hint="eastAsia" w:ascii="宋体" w:hAnsi="宋体" w:eastAsia="宋体"/>
                <w:sz w:val="21"/>
              </w:rPr>
              <w:t xml:space="preserve">时，绿灯常亮；当气瓶压力在</w:t>
            </w:r>
            <w:r>
              <w:rPr>
                <w:rFonts w:ascii="宋体" w:hAnsi="宋体" w:eastAsia="宋体"/>
                <w:sz w:val="21"/>
              </w:rPr>
              <w:t xml:space="preserve">(10</w:t>
            </w:r>
            <w:r>
              <w:rPr>
                <w:rFonts w:hint="eastAsia" w:ascii="宋体" w:hAnsi="宋体" w:eastAsia="宋体"/>
                <w:sz w:val="21"/>
              </w:rPr>
              <w:t xml:space="preserve">～</w:t>
            </w:r>
            <w:r>
              <w:rPr>
                <w:rFonts w:ascii="宋体" w:hAnsi="宋体" w:eastAsia="宋体"/>
                <w:sz w:val="21"/>
              </w:rPr>
              <w:t xml:space="preserve">6)MPa</w:t>
            </w:r>
            <w:r>
              <w:rPr>
                <w:rFonts w:hint="eastAsia" w:ascii="宋体" w:hAnsi="宋体" w:eastAsia="宋体"/>
                <w:sz w:val="21"/>
              </w:rPr>
              <w:t xml:space="preserve">时，黄灯常亮；当气瓶压力在</w:t>
            </w:r>
            <w:r>
              <w:rPr>
                <w:rFonts w:ascii="宋体" w:hAnsi="宋体" w:eastAsia="宋体"/>
                <w:sz w:val="21"/>
              </w:rPr>
              <w:t xml:space="preserve">6MPa</w:t>
            </w:r>
            <w:r>
              <w:rPr>
                <w:rFonts w:hint="eastAsia" w:ascii="宋体" w:hAnsi="宋体" w:eastAsia="宋体"/>
                <w:sz w:val="21"/>
              </w:rPr>
              <w:t xml:space="preserve">以下时，</w:t>
            </w:r>
            <w:r>
              <w:rPr>
                <w:rFonts w:ascii="宋体" w:hAnsi="宋体" w:eastAsia="宋体"/>
                <w:sz w:val="21"/>
              </w:rPr>
              <w:t xml:space="preserve"> </w:t>
            </w:r>
            <w:r>
              <w:rPr>
                <w:rFonts w:hint="eastAsia" w:ascii="宋体" w:hAnsi="宋体" w:eastAsia="宋体"/>
                <w:sz w:val="21"/>
              </w:rPr>
              <w:t xml:space="preserve">红灯一直闪亮；当压力平视显示装置的电源处于低电压时，黄灯一直闪亮。当</w:t>
            </w:r>
            <w:r>
              <w:rPr>
                <w:rFonts w:ascii="宋体" w:hAnsi="宋体" w:eastAsia="宋体"/>
                <w:sz w:val="21"/>
              </w:rPr>
              <w:t xml:space="preserve"> </w:t>
            </w:r>
            <w:r>
              <w:rPr>
                <w:rFonts w:hint="eastAsia" w:ascii="宋体" w:hAnsi="宋体" w:eastAsia="宋体"/>
                <w:sz w:val="21"/>
              </w:rPr>
              <w:t xml:space="preserve">发射装置与显示装置配对时，蓝灯一直闪亮；当配对成功后，蓝灯应熄灭。</w:t>
            </w:r>
            <w:r/>
          </w:p>
          <w:p>
            <w:pPr>
              <w:pStyle w:val="713"/>
              <w:rPr>
                <w:rFonts w:ascii="宋体" w:hAnsi="宋体" w:eastAsia="宋体"/>
                <w:sz w:val="21"/>
              </w:rPr>
            </w:pPr>
            <w:r>
              <w:rPr>
                <w:rFonts w:ascii="宋体" w:hAnsi="宋体" w:eastAsia="宋体"/>
                <w:sz w:val="21"/>
              </w:rPr>
              <w:t xml:space="preserve">6. </w:t>
            </w:r>
            <w:r>
              <w:rPr>
                <w:rFonts w:hint="eastAsia" w:ascii="宋体" w:hAnsi="宋体" w:eastAsia="宋体"/>
                <w:sz w:val="21"/>
              </w:rPr>
              <w:t xml:space="preserve">压力平视显示装置的防爆性能不低于</w:t>
            </w:r>
            <w:r>
              <w:rPr>
                <w:rFonts w:ascii="宋体" w:hAnsi="宋体" w:eastAsia="宋体"/>
                <w:sz w:val="21"/>
              </w:rPr>
              <w:t xml:space="preserve">GB3836.1-2010</w:t>
            </w:r>
            <w:r>
              <w:rPr>
                <w:rFonts w:hint="eastAsia" w:ascii="宋体" w:hAnsi="宋体" w:eastAsia="宋体"/>
                <w:sz w:val="21"/>
              </w:rPr>
              <w:t xml:space="preserve">、</w:t>
            </w:r>
            <w:r>
              <w:rPr>
                <w:rFonts w:ascii="宋体" w:hAnsi="宋体" w:eastAsia="宋体"/>
                <w:sz w:val="21"/>
              </w:rPr>
              <w:t xml:space="preserve">GB3836.4-2010</w:t>
            </w:r>
            <w:r>
              <w:rPr>
                <w:rFonts w:hint="eastAsia" w:ascii="宋体" w:hAnsi="宋体" w:eastAsia="宋体"/>
                <w:sz w:val="21"/>
              </w:rPr>
              <w:t xml:space="preserve">中</w:t>
            </w:r>
            <w:r>
              <w:rPr>
                <w:rFonts w:ascii="宋体" w:hAnsi="宋体" w:eastAsia="宋体"/>
                <w:sz w:val="21"/>
              </w:rPr>
              <w:t xml:space="preserve">Ex ia IIC T3</w:t>
            </w:r>
            <w:r>
              <w:rPr>
                <w:rFonts w:hint="eastAsia" w:ascii="宋体" w:hAnsi="宋体" w:eastAsia="宋体"/>
                <w:sz w:val="21"/>
              </w:rPr>
              <w:t xml:space="preserve">级规定。</w:t>
            </w:r>
            <w:r/>
          </w:p>
          <w:p>
            <w:pPr>
              <w:pStyle w:val="713"/>
              <w:rPr>
                <w:rFonts w:ascii="宋体" w:hAnsi="宋体" w:eastAsia="宋体"/>
                <w:sz w:val="21"/>
              </w:rPr>
            </w:pPr>
            <w:r>
              <w:rPr>
                <w:rFonts w:ascii="宋体" w:hAnsi="宋体" w:eastAsia="宋体"/>
                <w:sz w:val="21"/>
              </w:rPr>
              <w:t xml:space="preserve">7.</w:t>
            </w:r>
            <w:r>
              <w:rPr>
                <w:rFonts w:hint="eastAsia" w:ascii="宋体" w:hAnsi="宋体" w:eastAsia="宋体"/>
                <w:sz w:val="21"/>
              </w:rPr>
              <w:t xml:space="preserve">背具续燃时间≤</w:t>
            </w:r>
            <w:r>
              <w:rPr>
                <w:rFonts w:ascii="宋体" w:hAnsi="宋体" w:eastAsia="宋体"/>
                <w:sz w:val="21"/>
              </w:rPr>
              <w:t xml:space="preserve">5s</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8.</w:t>
            </w:r>
            <w:r>
              <w:rPr>
                <w:rFonts w:hint="eastAsia" w:ascii="宋体" w:hAnsi="宋体" w:eastAsia="宋体"/>
                <w:sz w:val="21"/>
              </w:rPr>
              <w:t xml:space="preserve">背具带续燃时间≤</w:t>
            </w:r>
            <w:r>
              <w:rPr>
                <w:rFonts w:ascii="宋体" w:hAnsi="宋体" w:eastAsia="宋体"/>
                <w:sz w:val="21"/>
              </w:rPr>
              <w:t xml:space="preserve">5s</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9.</w:t>
            </w:r>
            <w:r>
              <w:rPr>
                <w:rFonts w:hint="eastAsia" w:ascii="宋体" w:hAnsi="宋体" w:eastAsia="宋体"/>
                <w:sz w:val="21"/>
              </w:rPr>
              <w:t xml:space="preserve">气瓶压力</w:t>
            </w:r>
            <w:r>
              <w:rPr>
                <w:rFonts w:ascii="宋体" w:hAnsi="宋体" w:eastAsia="宋体"/>
                <w:sz w:val="21"/>
              </w:rPr>
              <w:t xml:space="preserve">30MPa</w:t>
            </w:r>
            <w:r>
              <w:rPr>
                <w:rFonts w:hint="eastAsia" w:ascii="宋体" w:hAnsi="宋体" w:eastAsia="宋体"/>
                <w:sz w:val="21"/>
              </w:rPr>
              <w:t xml:space="preserve">时，佩戴质量≤</w:t>
            </w:r>
            <w:r>
              <w:rPr>
                <w:rFonts w:ascii="宋体" w:hAnsi="宋体" w:eastAsia="宋体"/>
                <w:sz w:val="21"/>
              </w:rPr>
              <w:t xml:space="preserve">11.5kg</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10.</w:t>
            </w:r>
            <w:r>
              <w:rPr>
                <w:rFonts w:hint="eastAsia" w:ascii="宋体" w:hAnsi="宋体" w:eastAsia="宋体"/>
                <w:sz w:val="21"/>
              </w:rPr>
              <w:t xml:space="preserve">动态呼吸阻力，在</w:t>
            </w:r>
            <w:r>
              <w:rPr>
                <w:rFonts w:ascii="宋体" w:hAnsi="宋体" w:eastAsia="宋体"/>
                <w:sz w:val="21"/>
              </w:rPr>
              <w:t xml:space="preserve">(30</w:t>
            </w:r>
            <w:r>
              <w:rPr>
                <w:rFonts w:hint="eastAsia" w:ascii="宋体" w:hAnsi="宋体" w:eastAsia="宋体"/>
                <w:sz w:val="21"/>
              </w:rPr>
              <w:t xml:space="preserve">～</w:t>
            </w:r>
            <w:r>
              <w:rPr>
                <w:rFonts w:ascii="宋体" w:hAnsi="宋体" w:eastAsia="宋体"/>
                <w:sz w:val="21"/>
              </w:rPr>
              <w:t xml:space="preserve">2)MPa</w:t>
            </w:r>
            <w:r>
              <w:rPr>
                <w:rFonts w:hint="eastAsia" w:ascii="宋体" w:hAnsi="宋体" w:eastAsia="宋体"/>
                <w:sz w:val="21"/>
              </w:rPr>
              <w:t xml:space="preserve">范围内</w:t>
            </w:r>
            <w:r>
              <w:rPr>
                <w:rFonts w:ascii="宋体" w:hAnsi="宋体" w:eastAsia="宋体"/>
                <w:sz w:val="21"/>
              </w:rPr>
              <w:t xml:space="preserve">,</w:t>
            </w:r>
            <w:r>
              <w:rPr>
                <w:rFonts w:hint="eastAsia" w:ascii="宋体" w:hAnsi="宋体" w:eastAsia="宋体"/>
                <w:sz w:val="21"/>
              </w:rPr>
              <w:t xml:space="preserve">以呼吸频率</w:t>
            </w:r>
            <w:r>
              <w:rPr>
                <w:rFonts w:ascii="宋体" w:hAnsi="宋体" w:eastAsia="宋体"/>
                <w:sz w:val="21"/>
              </w:rPr>
              <w:t xml:space="preserve">40</w:t>
            </w:r>
            <w:r>
              <w:rPr>
                <w:rFonts w:hint="eastAsia" w:ascii="宋体" w:hAnsi="宋体" w:eastAsia="宋体"/>
                <w:sz w:val="21"/>
              </w:rPr>
              <w:t xml:space="preserve">次</w:t>
            </w:r>
            <w:r>
              <w:rPr>
                <w:rFonts w:ascii="宋体" w:hAnsi="宋体" w:eastAsia="宋体"/>
                <w:sz w:val="21"/>
              </w:rPr>
              <w:t xml:space="preserve">/min, </w:t>
            </w:r>
            <w:r>
              <w:rPr>
                <w:rFonts w:hint="eastAsia" w:ascii="宋体" w:hAnsi="宋体" w:eastAsia="宋体"/>
                <w:sz w:val="21"/>
              </w:rPr>
              <w:t xml:space="preserve">呼吸流量</w:t>
            </w:r>
            <w:r>
              <w:rPr>
                <w:rFonts w:ascii="宋体" w:hAnsi="宋体" w:eastAsia="宋体"/>
                <w:sz w:val="21"/>
              </w:rPr>
              <w:t xml:space="preserve">100L/min</w:t>
            </w:r>
            <w:r>
              <w:rPr>
                <w:rFonts w:hint="eastAsia" w:ascii="宋体" w:hAnsi="宋体" w:eastAsia="宋体"/>
                <w:sz w:val="21"/>
              </w:rPr>
              <w:t xml:space="preserve">呼吸</w:t>
            </w:r>
            <w:r>
              <w:rPr>
                <w:rFonts w:ascii="宋体" w:hAnsi="宋体" w:eastAsia="宋体"/>
                <w:sz w:val="21"/>
              </w:rPr>
              <w:t xml:space="preserve">,</w:t>
            </w:r>
            <w:r>
              <w:rPr>
                <w:rFonts w:hint="eastAsia" w:ascii="宋体" w:hAnsi="宋体" w:eastAsia="宋体"/>
                <w:sz w:val="21"/>
              </w:rPr>
              <w:t xml:space="preserve">呼吸器的全面罩内应始终保持正压。吸气阻力≤</w:t>
            </w:r>
            <w:r>
              <w:rPr>
                <w:rFonts w:ascii="宋体" w:hAnsi="宋体" w:eastAsia="宋体"/>
                <w:sz w:val="21"/>
              </w:rPr>
              <w:t xml:space="preserve">300Pa</w:t>
            </w:r>
            <w:r>
              <w:rPr>
                <w:rFonts w:hint="eastAsia" w:ascii="宋体" w:hAnsi="宋体" w:eastAsia="宋体"/>
                <w:sz w:val="21"/>
              </w:rPr>
              <w:t xml:space="preserve">；呼气阻力≤</w:t>
            </w:r>
            <w:r>
              <w:rPr>
                <w:rFonts w:ascii="宋体" w:hAnsi="宋体" w:eastAsia="宋体"/>
                <w:sz w:val="21"/>
              </w:rPr>
              <w:t xml:space="preserve">650Pa</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11.</w:t>
            </w:r>
            <w:r>
              <w:rPr>
                <w:rFonts w:hint="eastAsia" w:ascii="宋体" w:hAnsi="宋体" w:eastAsia="宋体"/>
                <w:sz w:val="21"/>
              </w:rPr>
              <w:t xml:space="preserve">在耐高温试验后，各零部件应无异常变形、粘连、脱胶等现象。以呼吸频率</w:t>
            </w:r>
            <w:r>
              <w:rPr>
                <w:rFonts w:ascii="宋体" w:hAnsi="宋体" w:eastAsia="宋体"/>
                <w:sz w:val="21"/>
              </w:rPr>
              <w:t xml:space="preserve">40</w:t>
            </w:r>
            <w:r>
              <w:rPr>
                <w:rFonts w:hint="eastAsia" w:ascii="宋体" w:hAnsi="宋体" w:eastAsia="宋体"/>
                <w:sz w:val="21"/>
              </w:rPr>
              <w:t xml:space="preserve">次</w:t>
            </w:r>
            <w:r>
              <w:rPr>
                <w:rFonts w:ascii="宋体" w:hAnsi="宋体" w:eastAsia="宋体"/>
                <w:sz w:val="21"/>
              </w:rPr>
              <w:t xml:space="preserve">/min</w:t>
            </w:r>
            <w:r>
              <w:rPr>
                <w:rFonts w:hint="eastAsia" w:ascii="宋体" w:hAnsi="宋体" w:eastAsia="宋体"/>
                <w:sz w:val="21"/>
              </w:rPr>
              <w:t xml:space="preserve">，呼吸流量</w:t>
            </w:r>
            <w:r>
              <w:rPr>
                <w:rFonts w:ascii="宋体" w:hAnsi="宋体" w:eastAsia="宋体"/>
                <w:sz w:val="21"/>
              </w:rPr>
              <w:t xml:space="preserve">100L/min</w:t>
            </w:r>
            <w:r>
              <w:rPr>
                <w:rFonts w:hint="eastAsia" w:ascii="宋体" w:hAnsi="宋体" w:eastAsia="宋体"/>
                <w:sz w:val="21"/>
              </w:rPr>
              <w:t xml:space="preserve">呼吸，呼吸器的全面罩内应保持正压。呼气阻力≤</w:t>
            </w:r>
            <w:r>
              <w:rPr>
                <w:rFonts w:ascii="宋体" w:hAnsi="宋体" w:eastAsia="宋体"/>
                <w:sz w:val="21"/>
              </w:rPr>
              <w:t xml:space="preserve">610Pa</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12.</w:t>
            </w:r>
            <w:r>
              <w:rPr>
                <w:rFonts w:hint="eastAsia" w:ascii="宋体" w:hAnsi="宋体" w:eastAsia="宋体"/>
                <w:sz w:val="21"/>
              </w:rPr>
              <w:t xml:space="preserve">在低温试验后，各零部件应无开裂、异常收缩、发脆等现象。以呼吸频率</w:t>
            </w:r>
            <w:r>
              <w:rPr>
                <w:rFonts w:ascii="宋体" w:hAnsi="宋体" w:eastAsia="宋体"/>
                <w:sz w:val="21"/>
              </w:rPr>
              <w:t xml:space="preserve">25</w:t>
            </w:r>
            <w:r>
              <w:rPr>
                <w:rFonts w:hint="eastAsia" w:ascii="宋体" w:hAnsi="宋体" w:eastAsia="宋体"/>
                <w:sz w:val="21"/>
              </w:rPr>
              <w:t xml:space="preserve">次</w:t>
            </w:r>
            <w:r>
              <w:rPr>
                <w:rFonts w:ascii="宋体" w:hAnsi="宋体" w:eastAsia="宋体"/>
                <w:sz w:val="21"/>
              </w:rPr>
              <w:t xml:space="preserve">/min</w:t>
            </w:r>
            <w:r>
              <w:rPr>
                <w:rFonts w:hint="eastAsia" w:ascii="宋体" w:hAnsi="宋体" w:eastAsia="宋体"/>
                <w:sz w:val="21"/>
              </w:rPr>
              <w:t xml:space="preserve">，呼吸流量</w:t>
            </w:r>
            <w:r>
              <w:rPr>
                <w:rFonts w:ascii="宋体" w:hAnsi="宋体" w:eastAsia="宋体"/>
                <w:sz w:val="21"/>
              </w:rPr>
              <w:t xml:space="preserve">50L/min</w:t>
            </w:r>
            <w:r>
              <w:rPr>
                <w:rFonts w:hint="eastAsia" w:ascii="宋体" w:hAnsi="宋体" w:eastAsia="宋体"/>
                <w:sz w:val="21"/>
              </w:rPr>
              <w:t xml:space="preserve">呼吸，呼吸器的全面罩内应保持正压。呼气阻力≤</w:t>
            </w:r>
            <w:r>
              <w:rPr>
                <w:rFonts w:ascii="宋体" w:hAnsi="宋体" w:eastAsia="宋体"/>
                <w:sz w:val="21"/>
              </w:rPr>
              <w:t xml:space="preserve">560Pa</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13.</w:t>
            </w:r>
            <w:r>
              <w:rPr>
                <w:rFonts w:hint="eastAsia" w:ascii="宋体" w:hAnsi="宋体" w:eastAsia="宋体"/>
                <w:sz w:val="21"/>
              </w:rPr>
              <w:t xml:space="preserve">在耐辐射热性能试验过程中，呼吸器的全面罩内应始终保持正压。吸气阻力≤</w:t>
            </w:r>
            <w:r>
              <w:rPr>
                <w:rFonts w:ascii="宋体" w:hAnsi="宋体" w:eastAsia="宋体"/>
                <w:sz w:val="21"/>
              </w:rPr>
              <w:t xml:space="preserve">200Pa</w:t>
            </w:r>
            <w:r>
              <w:rPr>
                <w:rFonts w:hint="eastAsia" w:ascii="宋体" w:hAnsi="宋体" w:eastAsia="宋体"/>
                <w:sz w:val="21"/>
              </w:rPr>
              <w:t xml:space="preserve">。呼气阻力≤</w:t>
            </w:r>
            <w:r>
              <w:rPr>
                <w:rFonts w:ascii="宋体" w:hAnsi="宋体" w:eastAsia="宋体"/>
                <w:sz w:val="21"/>
              </w:rPr>
              <w:t xml:space="preserve">600Pa</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14.</w:t>
            </w:r>
            <w:r>
              <w:rPr>
                <w:rFonts w:hint="eastAsia" w:ascii="宋体" w:hAnsi="宋体" w:eastAsia="宋体"/>
                <w:sz w:val="21"/>
              </w:rPr>
              <w:t xml:space="preserve">静态压力≤</w:t>
            </w:r>
            <w:r>
              <w:rPr>
                <w:rFonts w:ascii="宋体" w:hAnsi="宋体" w:eastAsia="宋体"/>
                <w:sz w:val="21"/>
              </w:rPr>
              <w:t xml:space="preserve">350Pa</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15.</w:t>
            </w:r>
            <w:r>
              <w:rPr>
                <w:rFonts w:hint="eastAsia" w:ascii="宋体" w:hAnsi="宋体" w:eastAsia="宋体"/>
                <w:sz w:val="21"/>
              </w:rPr>
              <w:t xml:space="preserve">警报器性能：气动警报器平均耗气量≤</w:t>
            </w:r>
            <w:r>
              <w:rPr>
                <w:rFonts w:ascii="宋体" w:hAnsi="宋体" w:eastAsia="宋体"/>
                <w:sz w:val="21"/>
              </w:rPr>
              <w:t xml:space="preserve">4L/min</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16.</w:t>
            </w:r>
            <w:r>
              <w:rPr>
                <w:rFonts w:hint="eastAsia" w:ascii="宋体" w:hAnsi="宋体" w:eastAsia="宋体"/>
                <w:sz w:val="21"/>
              </w:rPr>
              <w:t xml:space="preserve">全面罩视野开阔，头带或头罩应能根据佩戴者头部的需要自由调整，密合框应与佩戴者面部密合良好，无明显压痛感。视窗不应产生视觉变形现象。</w:t>
            </w:r>
            <w:r/>
          </w:p>
          <w:p>
            <w:pPr>
              <w:pStyle w:val="713"/>
              <w:rPr>
                <w:rFonts w:ascii="宋体" w:hAnsi="宋体" w:eastAsia="宋体"/>
                <w:sz w:val="21"/>
              </w:rPr>
            </w:pPr>
            <w:r>
              <w:rPr>
                <w:rFonts w:ascii="宋体" w:hAnsi="宋体" w:eastAsia="宋体"/>
                <w:sz w:val="21"/>
              </w:rPr>
              <w:t xml:space="preserve">17.</w:t>
            </w:r>
            <w:r>
              <w:rPr>
                <w:rFonts w:hint="eastAsia" w:ascii="宋体" w:hAnsi="宋体" w:eastAsia="宋体"/>
                <w:sz w:val="21"/>
              </w:rPr>
              <w:t xml:space="preserve">全面罩总视野保留率≥</w:t>
            </w:r>
            <w:r>
              <w:rPr>
                <w:rFonts w:ascii="宋体" w:hAnsi="宋体" w:eastAsia="宋体"/>
                <w:sz w:val="21"/>
              </w:rPr>
              <w:t xml:space="preserve">80%</w:t>
            </w:r>
            <w:r>
              <w:rPr>
                <w:rFonts w:hint="eastAsia" w:ascii="宋体" w:hAnsi="宋体" w:eastAsia="宋体"/>
                <w:sz w:val="21"/>
              </w:rPr>
              <w:t xml:space="preserve">，</w:t>
            </w:r>
            <w:r>
              <w:rPr>
                <w:rFonts w:hint="eastAsia" w:ascii="宋体" w:hAnsi="宋体" w:eastAsia="宋体"/>
                <w:sz w:val="21"/>
              </w:rPr>
              <w:t xml:space="preserve">双目视野保留率≥</w:t>
            </w:r>
            <w:r>
              <w:rPr>
                <w:rFonts w:ascii="宋体" w:hAnsi="宋体" w:eastAsia="宋体"/>
                <w:sz w:val="21"/>
              </w:rPr>
              <w:t xml:space="preserve">60%</w:t>
            </w:r>
            <w:r>
              <w:rPr>
                <w:rFonts w:hint="eastAsia" w:ascii="宋体" w:hAnsi="宋体" w:eastAsia="宋体"/>
                <w:sz w:val="21"/>
              </w:rPr>
              <w:t xml:space="preserve">，下方视野≥</w:t>
            </w:r>
            <w:r>
              <w:rPr>
                <w:rFonts w:ascii="宋体" w:hAnsi="宋体" w:eastAsia="宋体"/>
                <w:sz w:val="21"/>
              </w:rPr>
              <w:t xml:space="preserve">35°</w:t>
            </w:r>
            <w:r>
              <w:rPr>
                <w:rFonts w:hint="eastAsia" w:ascii="宋体" w:hAnsi="宋体" w:eastAsia="宋体"/>
                <w:sz w:val="21"/>
              </w:rPr>
              <w:t xml:space="preserve">，镜片透光率≥</w:t>
            </w:r>
            <w:r>
              <w:rPr>
                <w:rFonts w:ascii="宋体" w:hAnsi="宋体" w:eastAsia="宋体"/>
                <w:sz w:val="21"/>
              </w:rPr>
              <w:t xml:space="preserve">90%</w:t>
            </w:r>
            <w:r>
              <w:rPr>
                <w:rFonts w:hint="eastAsia" w:ascii="宋体" w:hAnsi="宋体" w:eastAsia="宋体"/>
                <w:sz w:val="21"/>
              </w:rPr>
              <w:t xml:space="preserve">，吸入气体中二氧化碳含量≤</w:t>
            </w:r>
            <w:r>
              <w:rPr>
                <w:rFonts w:ascii="宋体" w:hAnsi="宋体" w:eastAsia="宋体"/>
                <w:sz w:val="21"/>
              </w:rPr>
              <w:t xml:space="preserve">1%</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18.</w:t>
            </w:r>
            <w:r>
              <w:rPr>
                <w:rFonts w:hint="eastAsia" w:ascii="宋体" w:hAnsi="宋体" w:eastAsia="宋体"/>
                <w:sz w:val="21"/>
              </w:rPr>
              <w:t xml:space="preserve">减压器输出压力应在</w:t>
            </w:r>
            <w:r>
              <w:rPr>
                <w:rFonts w:ascii="宋体" w:hAnsi="宋体" w:eastAsia="宋体"/>
                <w:sz w:val="21"/>
              </w:rPr>
              <w:t xml:space="preserve">0.45 MPa ~0.90 MPa</w:t>
            </w:r>
            <w:r>
              <w:rPr>
                <w:rFonts w:hint="eastAsia" w:ascii="宋体" w:hAnsi="宋体" w:eastAsia="宋体"/>
                <w:sz w:val="21"/>
              </w:rPr>
              <w:t xml:space="preserve">范围内。</w:t>
            </w:r>
            <w:r/>
          </w:p>
          <w:p>
            <w:pPr>
              <w:pStyle w:val="713"/>
              <w:rPr>
                <w:rFonts w:ascii="宋体" w:hAnsi="宋体" w:eastAsia="宋体"/>
                <w:sz w:val="21"/>
              </w:rPr>
            </w:pPr>
            <w:r>
              <w:rPr>
                <w:rFonts w:ascii="宋体" w:hAnsi="宋体" w:eastAsia="宋体"/>
                <w:sz w:val="21"/>
              </w:rPr>
              <w:t xml:space="preserve">19.</w:t>
            </w:r>
            <w:r>
              <w:rPr>
                <w:rFonts w:hint="eastAsia" w:ascii="宋体" w:hAnsi="宋体" w:eastAsia="宋体"/>
                <w:sz w:val="21"/>
              </w:rPr>
              <w:t xml:space="preserve">安全阀，关闭压力不应小于减压器输出压力最大设计值</w:t>
            </w:r>
            <w:r>
              <w:rPr>
                <w:rFonts w:ascii="宋体" w:hAnsi="宋体" w:eastAsia="宋体"/>
                <w:sz w:val="21"/>
              </w:rPr>
              <w:t xml:space="preserve">1MPa</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20.</w:t>
            </w:r>
            <w:r>
              <w:rPr>
                <w:rFonts w:hint="eastAsia" w:ascii="宋体" w:hAnsi="宋体" w:eastAsia="宋体"/>
                <w:sz w:val="21"/>
              </w:rPr>
              <w:t xml:space="preserve">气瓶容量≥</w:t>
            </w:r>
            <w:r>
              <w:rPr>
                <w:rFonts w:ascii="宋体" w:hAnsi="宋体" w:eastAsia="宋体"/>
                <w:sz w:val="21"/>
              </w:rPr>
              <w:t xml:space="preserve">6.8L</w:t>
            </w:r>
            <w:r>
              <w:rPr>
                <w:rFonts w:hint="eastAsia" w:ascii="宋体" w:hAnsi="宋体" w:eastAsia="宋体"/>
                <w:sz w:val="21"/>
              </w:rPr>
              <w:t xml:space="preserve">。</w:t>
            </w:r>
            <w:r/>
          </w:p>
          <w:p>
            <w:pPr>
              <w:pStyle w:val="713"/>
              <w:rPr>
                <w:rFonts w:ascii="宋体" w:hAnsi="宋体" w:eastAsia="宋体"/>
                <w:sz w:val="21"/>
              </w:rPr>
            </w:pPr>
            <w:r>
              <w:rPr>
                <w:rFonts w:ascii="宋体" w:hAnsi="宋体" w:eastAsia="宋体"/>
                <w:sz w:val="21"/>
              </w:rPr>
              <w:t xml:space="preserve">21.</w:t>
            </w:r>
            <w:r>
              <w:rPr>
                <w:rFonts w:hint="eastAsia" w:ascii="宋体" w:hAnsi="宋体" w:eastAsia="宋体"/>
                <w:sz w:val="21"/>
              </w:rPr>
              <w:t xml:space="preserve">气瓶瓶阀的开启方向为逆时针，气瓶瓶阀在开启后应保证不会被无意关闭，如气瓶瓶阀开启后不可锁定，那么开启手轮应至少旋转两周才能达到关闭状态。安全膜片爆破压力</w:t>
            </w:r>
            <w:r>
              <w:rPr>
                <w:rFonts w:ascii="宋体" w:hAnsi="宋体" w:eastAsia="宋体"/>
                <w:sz w:val="21"/>
              </w:rPr>
              <w:t xml:space="preserve"> (MPa)</w:t>
            </w:r>
            <w:r>
              <w:rPr>
                <w:rFonts w:hint="eastAsia" w:ascii="宋体" w:hAnsi="宋体" w:eastAsia="宋体"/>
                <w:sz w:val="21"/>
              </w:rPr>
              <w:t xml:space="preserve">应在</w:t>
            </w:r>
            <w:r>
              <w:rPr>
                <w:rFonts w:ascii="宋体" w:hAnsi="宋体" w:eastAsia="宋体"/>
                <w:sz w:val="21"/>
              </w:rPr>
              <w:t xml:space="preserve">37</w:t>
            </w:r>
            <w:r>
              <w:rPr>
                <w:rFonts w:hint="eastAsia" w:ascii="宋体" w:hAnsi="宋体" w:eastAsia="宋体"/>
                <w:sz w:val="21"/>
              </w:rPr>
              <w:t xml:space="preserve">～</w:t>
            </w:r>
            <w:r>
              <w:rPr>
                <w:rFonts w:ascii="宋体" w:hAnsi="宋体" w:eastAsia="宋体"/>
                <w:sz w:val="21"/>
              </w:rPr>
              <w:t xml:space="preserve">45</w:t>
            </w:r>
            <w:r>
              <w:rPr>
                <w:rFonts w:hint="eastAsia" w:ascii="宋体" w:hAnsi="宋体" w:eastAsia="宋体"/>
                <w:sz w:val="21"/>
              </w:rPr>
              <w:t xml:space="preserve">。螺纹长度：≥</w:t>
            </w:r>
            <w:r>
              <w:rPr>
                <w:rFonts w:ascii="宋体" w:hAnsi="宋体" w:eastAsia="宋体"/>
                <w:sz w:val="21"/>
              </w:rPr>
              <w:t xml:space="preserve">18mm</w:t>
            </w:r>
            <w:r>
              <w:rPr>
                <w:rFonts w:hint="eastAsia" w:ascii="宋体" w:hAnsi="宋体" w:eastAsia="宋体"/>
                <w:sz w:val="21"/>
              </w:rPr>
              <w:t xml:space="preserve">。</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空呼备用气瓶</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30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1、符合XF124-2013《正压式消防空气呼吸器 》 、GB28053-2011《呼吸器用复合气瓶》标准要求。 </w:t>
            </w:r>
            <w:r>
              <w:rPr>
                <w:rFonts w:hint="eastAsia" w:ascii="宋体" w:hAnsi="宋体" w:eastAsia="宋体" w:cs="宋体"/>
                <w:sz w:val="21"/>
              </w:rPr>
              <w:br/>
              <w:t xml:space="preserve">2、气瓶采用铝内胆碳纤维全缠绕复合气瓶，公称容积：6.8L，公称工作压力≥30MPa。   </w:t>
            </w:r>
            <w:r>
              <w:rPr>
                <w:rFonts w:hint="eastAsia" w:ascii="宋体" w:hAnsi="宋体" w:eastAsia="宋体" w:cs="宋体"/>
                <w:sz w:val="21"/>
              </w:rPr>
              <w:t xml:space="preserve">                                                                                                                                                                                                                                     3、水压试验压力≥50MPa，爆破压力≥102MPa。</w:t>
            </w:r>
            <w:r>
              <w:rPr>
                <w:rFonts w:hint="eastAsia" w:ascii="宋体" w:hAnsi="宋体" w:eastAsia="宋体" w:cs="宋体"/>
                <w:sz w:val="21"/>
              </w:rPr>
              <w:br/>
              <w:t xml:space="preserve">4、气瓶出口螺纹：M18x1.5。</w:t>
            </w:r>
            <w:r>
              <w:rPr>
                <w:rFonts w:hint="eastAsia" w:ascii="宋体" w:hAnsi="宋体" w:eastAsia="宋体" w:cs="宋体"/>
                <w:sz w:val="21"/>
              </w:rPr>
              <w:br/>
              <w:t xml:space="preserve">5、气瓶瓶阀的开启方向为逆时针，气瓶瓶阀在开启后应保证不会被无意关闭。</w:t>
            </w:r>
            <w:r>
              <w:rPr>
                <w:rFonts w:hint="eastAsia" w:ascii="宋体" w:hAnsi="宋体" w:eastAsia="宋体" w:cs="宋体"/>
                <w:sz w:val="21"/>
              </w:rPr>
              <w:br/>
              <w:t xml:space="preserve">6、气瓶瓶阀安全膜片爆破压力37~45Mpa，输出端螺纹尺寸 G5/8，螺纹长度≥18mm。</w:t>
            </w:r>
            <w:r>
              <w:rPr>
                <w:rFonts w:hint="eastAsia" w:ascii="宋体" w:hAnsi="宋体" w:eastAsia="宋体" w:cs="宋体"/>
                <w:sz w:val="21"/>
              </w:rPr>
              <w:br/>
              <w:t xml:space="preserve">7、气瓶瓶阀应伸手可及，阀体应配置内置式压力显示。</w:t>
            </w:r>
            <w:r>
              <w:rPr>
                <w:rFonts w:hint="eastAsia" w:ascii="宋体" w:hAnsi="宋体" w:eastAsia="宋体" w:cs="宋体"/>
                <w:sz w:val="21"/>
              </w:rPr>
              <w:br/>
              <w:t xml:space="preserve">8、气瓶配备气瓶保护套，气瓶保护套具有反光标识。</w:t>
            </w:r>
            <w:r>
              <w:rPr>
                <w:rFonts w:hint="eastAsia" w:ascii="宋体" w:hAnsi="宋体" w:eastAsia="宋体" w:cs="宋体"/>
                <w:sz w:val="21"/>
              </w:rPr>
              <w:br/>
              <w:t xml:space="preserve">9、气瓶阀配备限流装置，可以避免气瓶阀意外断裂时，大流量高压气体不受控制的释放而产生的气瓶冲击危险，避免人员损伤。</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防蜂服</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4</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套</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消防员防蜂服是用于防蜂类等昆虫侵蚀的专用防护。外层面料采用白色高压耐刺穿面料制成，具有密封、耐磨、 轻便、高强力，保护色不易引起蜂群攻击等特性，还可防硬物刮擦、切割、撕破等危险危害因素对消防员造成的损伤，是消防人员在摘除黄蜂窝时穿着的一种最基本的功能型防护服。</w:t>
            </w:r>
            <w:r>
              <w:rPr>
                <w:rFonts w:hint="eastAsia" w:ascii="宋体" w:hAnsi="宋体" w:eastAsia="宋体" w:cs="宋体"/>
                <w:sz w:val="21"/>
              </w:rPr>
              <w:br/>
              <w:t xml:space="preserve">1、符合XF3008-2020《消防员防蜂服》标准要求。</w:t>
            </w:r>
            <w:r>
              <w:rPr>
                <w:rFonts w:hint="eastAsia" w:ascii="宋体" w:hAnsi="宋体" w:eastAsia="宋体" w:cs="宋体"/>
                <w:sz w:val="21"/>
              </w:rPr>
              <w:br/>
              <w:t xml:space="preserve">2、全包覆一体式设计，衣服整体采用双层高压耐刺穿白色面料制作，具有良好的阻燃、防蛰、耐磨性能。</w:t>
            </w:r>
            <w:r>
              <w:rPr>
                <w:rFonts w:hint="eastAsia" w:ascii="宋体" w:hAnsi="宋体" w:eastAsia="宋体" w:cs="宋体"/>
                <w:sz w:val="21"/>
              </w:rPr>
              <w:br/>
              <w:t xml:space="preserve">3、面料性能：抗蛰刺力≥0.45N；耐磨性能≥2000次。经纬向续燃时间0s，经纬向损毁长度≤90mm。</w:t>
            </w:r>
            <w:r>
              <w:rPr>
                <w:rFonts w:hint="eastAsia" w:ascii="宋体" w:hAnsi="宋体" w:eastAsia="宋体" w:cs="宋体"/>
                <w:sz w:val="21"/>
              </w:rPr>
              <w:br/>
              <w:t xml:space="preserve">4、断裂强力：经向≥1400N，纬向≥1000;撕破强力：经向≥200N，纬向≥120N;接缝断裂强力≥800N。</w:t>
            </w:r>
            <w:r>
              <w:rPr>
                <w:rFonts w:hint="eastAsia" w:ascii="宋体" w:hAnsi="宋体" w:eastAsia="宋体" w:cs="宋体"/>
                <w:sz w:val="21"/>
              </w:rPr>
              <w:br/>
              <w:t xml:space="preserve">5、甲醛含量≤0mg/kg；PH值：7.0-8.5;表面抗湿性能≥4级;拒油性能≥4级;</w:t>
            </w:r>
            <w:r>
              <w:rPr>
                <w:rFonts w:hint="eastAsia" w:ascii="宋体" w:hAnsi="宋体" w:eastAsia="宋体" w:cs="宋体"/>
                <w:sz w:val="21"/>
              </w:rPr>
              <w:br/>
              <w:t xml:space="preserve">6、头罩性能：孔径≤1mm；</w:t>
            </w:r>
            <w:r>
              <w:rPr>
                <w:rFonts w:hint="eastAsia" w:ascii="宋体" w:hAnsi="宋体" w:eastAsia="宋体" w:cs="宋体"/>
                <w:sz w:val="21"/>
              </w:rPr>
              <w:br/>
              <w:t xml:space="preserve">7、手套性能：抗刺蛰力≥0.8N；割破力≥2N。撕破强力≥100N；灵巧性能：拾取钢棒直径≤10mm。</w:t>
            </w:r>
            <w:r>
              <w:rPr>
                <w:rFonts w:hint="eastAsia" w:ascii="宋体" w:hAnsi="宋体" w:eastAsia="宋体" w:cs="宋体"/>
                <w:sz w:val="21"/>
              </w:rPr>
              <w:br/>
              <w:t xml:space="preserve">8、靴帮抗刺穿性能≥67N；击穿电压≥5000V，泄漏电流＜0.8mA，始滑角＞15°。</w:t>
            </w:r>
            <w:r>
              <w:rPr>
                <w:rFonts w:hint="eastAsia" w:ascii="宋体" w:hAnsi="宋体" w:eastAsia="宋体" w:cs="宋体"/>
                <w:sz w:val="21"/>
              </w:rPr>
              <w:br/>
            </w:r>
            <w:r>
              <w:rPr>
                <w:rFonts w:hint="eastAsia" w:ascii="宋体" w:hAnsi="宋体" w:eastAsia="宋体" w:cs="宋体"/>
                <w:sz w:val="21"/>
              </w:rPr>
              <w:t xml:space="preserve">9、重量≤4.2kg。</w:t>
            </w:r>
            <w:r>
              <w:rPr>
                <w:rFonts w:hint="eastAsia" w:ascii="宋体" w:hAnsi="宋体" w:eastAsia="宋体" w:cs="宋体"/>
                <w:sz w:val="21"/>
              </w:rPr>
              <w:br/>
              <w:t xml:space="preserve">10、需提供国家认可的第三方检测检验机构出具的检测检验报告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电绝缘装具</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2</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套</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1.整体要求</w:t>
            </w:r>
            <w:r>
              <w:rPr>
                <w:rFonts w:hint="eastAsia" w:ascii="宋体" w:hAnsi="宋体" w:eastAsia="宋体" w:cs="宋体"/>
                <w:sz w:val="21"/>
              </w:rPr>
              <w:br/>
              <w:t xml:space="preserve">1.1符合DL/T 1125-2009《10KV 带电作业用绝缘服装》标准要求。绝缘手套符合GB17622-2008《带电作业用绝缘手套》标准要求。</w:t>
            </w:r>
            <w:r>
              <w:rPr>
                <w:rFonts w:hint="eastAsia" w:ascii="宋体" w:hAnsi="宋体" w:eastAsia="宋体" w:cs="宋体"/>
                <w:sz w:val="21"/>
              </w:rPr>
              <w:br/>
              <w:t xml:space="preserve">1.2本产品是消防员在额定电压为10KV及以下带电类火灾事故现场进行抢险救援时使用的防护服装。</w:t>
            </w:r>
            <w:r>
              <w:rPr>
                <w:rFonts w:hint="eastAsia" w:ascii="宋体" w:hAnsi="宋体" w:eastAsia="宋体" w:cs="宋体"/>
                <w:sz w:val="21"/>
              </w:rPr>
              <w:br/>
              <w:t xml:space="preserve">2.结构 </w:t>
            </w:r>
            <w:r>
              <w:rPr>
                <w:rFonts w:hint="eastAsia" w:ascii="宋体" w:hAnsi="宋体" w:eastAsia="宋体" w:cs="宋体"/>
                <w:sz w:val="21"/>
              </w:rPr>
              <w:br/>
              <w:t xml:space="preserve">2.1电绝缘装具包含电绝缘服、绝缘靴、绝缘手套组成。</w:t>
            </w:r>
            <w:r>
              <w:rPr>
                <w:rFonts w:hint="eastAsia" w:ascii="宋体" w:hAnsi="宋体" w:eastAsia="宋体" w:cs="宋体"/>
                <w:sz w:val="21"/>
              </w:rPr>
              <w:br/>
              <w:t xml:space="preserve">2.2电绝缘服由三层结构复合制成，外层和里层为阻燃橡胶布、中间层为高分子绝缘膜。</w:t>
            </w:r>
            <w:r>
              <w:rPr>
                <w:rFonts w:hint="eastAsia" w:ascii="宋体" w:hAnsi="宋体" w:eastAsia="宋体" w:cs="宋体"/>
                <w:sz w:val="21"/>
              </w:rPr>
              <w:br/>
              <w:t xml:space="preserve">2.3电绝缘手套为经特殊处理天然橡胶制成，质地柔软，采用五指设计。</w:t>
            </w:r>
            <w:r>
              <w:rPr>
                <w:rFonts w:hint="eastAsia" w:ascii="宋体" w:hAnsi="宋体" w:eastAsia="宋体" w:cs="宋体"/>
                <w:sz w:val="21"/>
              </w:rPr>
              <w:br/>
              <w:t xml:space="preserve">2.4电绝缘靴采用高压橡胶制成。</w:t>
            </w:r>
            <w:r>
              <w:rPr>
                <w:rFonts w:hint="eastAsia" w:ascii="宋体" w:hAnsi="宋体" w:eastAsia="宋体" w:cs="宋体"/>
                <w:sz w:val="21"/>
              </w:rPr>
              <w:br/>
              <w:t xml:space="preserve">3.技术性能</w:t>
            </w:r>
            <w:r>
              <w:rPr>
                <w:rFonts w:hint="eastAsia" w:ascii="宋体" w:hAnsi="宋体" w:eastAsia="宋体" w:cs="宋体"/>
                <w:sz w:val="21"/>
              </w:rPr>
              <w:br/>
              <w:t xml:space="preserve">3.1电绝缘服表面应平整、均匀、光滑，无小孔、局部隆起、夹杂异物、空隙等，接合部位应采取无缝制作方式。</w:t>
            </w:r>
            <w:r>
              <w:rPr>
                <w:rFonts w:hint="eastAsia" w:ascii="宋体" w:hAnsi="宋体" w:eastAsia="宋体" w:cs="宋体"/>
                <w:sz w:val="21"/>
              </w:rPr>
              <w:br/>
              <w:t xml:space="preserve">3.2表层拉伸强度：平均值≥20Mpa，最低值≥平均值的95%。</w:t>
            </w:r>
            <w:r>
              <w:rPr>
                <w:rFonts w:hint="eastAsia" w:ascii="宋体" w:hAnsi="宋体" w:eastAsia="宋体" w:cs="宋体"/>
                <w:sz w:val="21"/>
              </w:rPr>
              <w:br/>
              <w:t xml:space="preserve">3.3表层抗机械刺穿：平均值≥50N，最低值≥平均值的98%。</w:t>
            </w:r>
            <w:r>
              <w:rPr>
                <w:rFonts w:hint="eastAsia" w:ascii="宋体" w:hAnsi="宋体" w:eastAsia="宋体" w:cs="宋体"/>
                <w:sz w:val="21"/>
              </w:rPr>
              <w:br/>
              <w:t xml:space="preserve">3.4表层抗撕裂：平均值≥150N，最低值≥平均值的98%。</w:t>
            </w:r>
            <w:r>
              <w:rPr>
                <w:rFonts w:hint="eastAsia" w:ascii="宋体" w:hAnsi="宋体" w:eastAsia="宋体" w:cs="宋体"/>
                <w:sz w:val="21"/>
              </w:rPr>
              <w:br/>
              <w:t xml:space="preserve">3.5电气性能：交流电压以1000V/S的速度上升至20KV，保持1min后，应无闪络、击穿、发热现象。</w:t>
            </w:r>
            <w:r>
              <w:rPr>
                <w:rFonts w:hint="eastAsia" w:ascii="宋体" w:hAnsi="宋体" w:eastAsia="宋体" w:cs="宋体"/>
                <w:sz w:val="21"/>
              </w:rPr>
              <w:br/>
              <w:t xml:space="preserve">3.6绝缘手套耐电压≥12KV。</w:t>
            </w:r>
            <w:r>
              <w:rPr>
                <w:rFonts w:hint="eastAsia" w:ascii="宋体" w:hAnsi="宋体" w:eastAsia="宋体" w:cs="宋体"/>
                <w:sz w:val="21"/>
              </w:rPr>
              <w:br/>
              <w:t xml:space="preserve">3.7绝缘靴耐电压≥25KV</w:t>
            </w:r>
            <w:r>
              <w:rPr>
                <w:rFonts w:hint="eastAsia" w:ascii="宋体" w:hAnsi="宋体" w:eastAsia="宋体" w:cs="宋体"/>
                <w:sz w:val="21"/>
              </w:rPr>
              <w:br/>
              <w:t xml:space="preserve">4、需提供国家认可的第三方检测检验机构出具的检测检验报告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有毒气体探测仪</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1、能够可靠地监测多达四种危害气体，重量轻，体积小，便于单手操作使用。</w:t>
            </w:r>
            <w:r>
              <w:rPr>
                <w:rFonts w:hint="eastAsia" w:ascii="宋体" w:hAnsi="宋体" w:eastAsia="宋体" w:cs="宋体"/>
                <w:sz w:val="21"/>
              </w:rPr>
              <w:br/>
              <w:t xml:space="preserve">2、外壳材质： 聚碳酸酯与橡胶二次成型</w:t>
            </w:r>
            <w:r>
              <w:rPr>
                <w:rFonts w:hint="eastAsia" w:ascii="宋体" w:hAnsi="宋体" w:eastAsia="宋体" w:cs="宋体"/>
                <w:sz w:val="21"/>
              </w:rPr>
              <w:br/>
              <w:t xml:space="preserve">3、声音报警： &gt;95dB at 30cm</w:t>
            </w:r>
            <w:r>
              <w:rPr>
                <w:rFonts w:hint="eastAsia" w:ascii="宋体" w:hAnsi="宋体" w:eastAsia="宋体" w:cs="宋体"/>
                <w:sz w:val="21"/>
              </w:rPr>
              <w:br/>
              <w:t xml:space="preserve">4、屏幕：高对比度液晶显示</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5、检测气体种类：可燃气LEL/O2/H2S/CO/H2S-LC（低浓度）/CO</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6、传感器：可燃气体：0-100%LEL（0-5%VolCH4）/O2：0-30%Vol/CO：0-1999ppm/H2S：0-200ppm</w:t>
            </w:r>
            <w:r>
              <w:rPr>
                <w:rFonts w:hint="eastAsia" w:ascii="宋体" w:hAnsi="宋体" w:eastAsia="宋体" w:cs="宋体"/>
                <w:sz w:val="21"/>
              </w:rPr>
              <w:br/>
              <w:t xml:space="preserve">7、报警功能：具有跌倒报警，立即报警，视觉报警，声音报警，震动报警功能。</w:t>
            </w:r>
            <w:r>
              <w:rPr>
                <w:rFonts w:hint="eastAsia" w:ascii="宋体" w:hAnsi="宋体" w:eastAsia="宋体" w:cs="宋体"/>
                <w:sz w:val="21"/>
              </w:rPr>
              <w:br/>
              <w:t xml:space="preserve">8、电池：充电式锂电池，连续工作时间≥20小时</w:t>
            </w:r>
            <w:r>
              <w:rPr>
                <w:rFonts w:hint="eastAsia" w:ascii="宋体" w:hAnsi="宋体" w:eastAsia="宋体" w:cs="宋体"/>
                <w:sz w:val="21"/>
              </w:rPr>
              <w:br/>
              <w:t xml:space="preserve">9、尺寸：（长x宽x深）≤115x80x35毫米</w:t>
            </w:r>
            <w:r>
              <w:rPr>
                <w:rFonts w:hint="eastAsia" w:ascii="宋体" w:hAnsi="宋体" w:eastAsia="宋体" w:cs="宋体"/>
                <w:sz w:val="21"/>
              </w:rPr>
              <w:br/>
              <w:t xml:space="preserve">10、重量：≤ 230克</w:t>
            </w:r>
            <w:r>
              <w:rPr>
                <w:rFonts w:hint="eastAsia" w:ascii="宋体" w:hAnsi="宋体" w:eastAsia="宋体" w:cs="宋体"/>
                <w:sz w:val="21"/>
              </w:rPr>
              <w:br/>
              <w:t xml:space="preserve">11、防水防尘等级：IP68</w:t>
            </w:r>
            <w:r>
              <w:rPr>
                <w:rFonts w:hint="eastAsia" w:ascii="宋体" w:hAnsi="宋体" w:eastAsia="宋体" w:cs="宋体"/>
                <w:sz w:val="21"/>
              </w:rPr>
              <w:br/>
              <w:t xml:space="preserve">提供国家计量认证、防爆证书复印件</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可燃气体探测仪</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1、检测仪具备各种灵活传感器选项，以便检测不同环境下的可燃气体传感器配置选项灵活；</w:t>
            </w:r>
            <w:r>
              <w:rPr>
                <w:rFonts w:hint="eastAsia" w:ascii="宋体" w:hAnsi="宋体" w:eastAsia="宋体" w:cs="宋体"/>
                <w:sz w:val="21"/>
              </w:rPr>
              <w:br/>
              <w:t xml:space="preserve">2、外壳材质： 聚碳酸酯与橡胶二次成型</w:t>
            </w:r>
            <w:r>
              <w:rPr>
                <w:rFonts w:hint="eastAsia" w:ascii="宋体" w:hAnsi="宋体" w:eastAsia="宋体" w:cs="宋体"/>
                <w:sz w:val="21"/>
              </w:rPr>
              <w:br/>
              <w:t xml:space="preserve">3、声音报警： &gt;95dB at 30cm</w:t>
            </w:r>
            <w:r>
              <w:rPr>
                <w:rFonts w:hint="eastAsia" w:ascii="宋体" w:hAnsi="宋体" w:eastAsia="宋体" w:cs="宋体"/>
                <w:sz w:val="21"/>
              </w:rPr>
              <w:br/>
              <w:t xml:space="preserve">4、屏幕：高对比度液晶显示</w:t>
            </w:r>
            <w:r>
              <w:rPr>
                <w:rFonts w:hint="eastAsia" w:ascii="宋体" w:hAnsi="宋体" w:eastAsia="宋体" w:cs="宋体"/>
                <w:sz w:val="21"/>
              </w:rPr>
              <w:br/>
              <w:t xml:space="preserve">5、检测气体种类：可燃气LEL</w:t>
            </w:r>
            <w:r>
              <w:rPr>
                <w:rFonts w:hint="eastAsia" w:ascii="宋体" w:hAnsi="宋体" w:eastAsia="宋体" w:cs="宋体"/>
                <w:sz w:val="21"/>
              </w:rPr>
              <w:br/>
              <w:t xml:space="preserve">6、传感器：可燃气体：0-100%LEL（0-5%VolCH4）</w:t>
            </w:r>
            <w:r>
              <w:rPr>
                <w:rFonts w:hint="eastAsia" w:ascii="宋体" w:hAnsi="宋体" w:eastAsia="宋体" w:cs="宋体"/>
                <w:sz w:val="21"/>
              </w:rPr>
              <w:br/>
              <w:t xml:space="preserve">7、报警功能：具有跌倒报警，立即报警，视觉报警，声音报警，震动报警功能。</w:t>
            </w:r>
            <w:r>
              <w:rPr>
                <w:rFonts w:hint="eastAsia" w:ascii="宋体" w:hAnsi="宋体" w:eastAsia="宋体" w:cs="宋体"/>
                <w:sz w:val="21"/>
              </w:rPr>
              <w:br/>
              <w:t xml:space="preserve">8、电池：充电式锂电池，连续工作时间≥20小时</w:t>
            </w:r>
            <w:r>
              <w:rPr>
                <w:rFonts w:hint="eastAsia" w:ascii="宋体" w:hAnsi="宋体" w:eastAsia="宋体" w:cs="宋体"/>
                <w:sz w:val="21"/>
              </w:rPr>
              <w:br/>
              <w:t xml:space="preserve">9、尺寸：（长x宽x深）≤115x80x35毫米</w:t>
            </w:r>
            <w:r>
              <w:rPr>
                <w:rFonts w:hint="eastAsia" w:ascii="宋体" w:hAnsi="宋体" w:eastAsia="宋体" w:cs="宋体"/>
                <w:sz w:val="21"/>
              </w:rPr>
              <w:br/>
            </w:r>
            <w:r>
              <w:rPr>
                <w:rFonts w:hint="eastAsia" w:ascii="宋体" w:hAnsi="宋体" w:eastAsia="宋体" w:cs="宋体"/>
                <w:sz w:val="21"/>
              </w:rPr>
              <w:t xml:space="preserve">10、重量：≤ 230克</w:t>
            </w:r>
            <w:r>
              <w:rPr>
                <w:rFonts w:hint="eastAsia" w:ascii="宋体" w:hAnsi="宋体" w:eastAsia="宋体" w:cs="宋体"/>
                <w:sz w:val="21"/>
              </w:rPr>
              <w:br/>
              <w:t xml:space="preserve">11、防水防尘等级：IP68</w:t>
            </w:r>
            <w:r>
              <w:rPr>
                <w:rFonts w:hint="eastAsia" w:ascii="宋体" w:hAnsi="宋体" w:eastAsia="宋体" w:cs="宋体"/>
                <w:sz w:val="21"/>
              </w:rPr>
              <w:br/>
              <w:t xml:space="preserve">提供国家计量认证、防爆证书复印件</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热像仪</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台</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符合XF/T 635-2023 《消防用红外热像仪》标准要求，消防用红外热像仪用于火灾现场黑暗、浓烟环境中的搜救。</w:t>
            </w:r>
            <w:r>
              <w:rPr>
                <w:rFonts w:hint="eastAsia" w:ascii="宋体" w:hAnsi="宋体" w:eastAsia="宋体" w:cs="宋体"/>
                <w:sz w:val="21"/>
              </w:rPr>
              <w:br/>
              <w:t xml:space="preserve">1、热像仪尺寸不超过（H*W*D）：≦220mm*110mm*85mm,重量（含充电电池）不超过900克</w:t>
            </w:r>
            <w:r>
              <w:rPr>
                <w:rFonts w:hint="eastAsia" w:ascii="宋体" w:hAnsi="宋体" w:eastAsia="宋体" w:cs="宋体"/>
                <w:sz w:val="21"/>
              </w:rPr>
              <w:br/>
              <w:t xml:space="preserve">2、热像仪主机机身及屏幕减震器需采用热塑性橡胶为材料，满足耐温、耐热氧化,耐无机酸、碱、盐溶液的腐蚀,耐离子辐射,具有无毒,绝缘性和自熄性的特点。</w:t>
            </w:r>
            <w:r>
              <w:rPr>
                <w:rFonts w:hint="eastAsia" w:ascii="宋体" w:hAnsi="宋体" w:eastAsia="宋体" w:cs="宋体"/>
                <w:sz w:val="21"/>
              </w:rPr>
              <w:br/>
              <w:t xml:space="preserve">3、电源系统：需标配不少于两块专业消防用锂电池充电电池，完全充放电次数大于1000次，每块电池使用时间大于2小时，电池电量需在屏幕中显示。电源需标配国标、英标、欧标、美标可替换插头及车载12V电源线满足国际救援需求。</w:t>
            </w:r>
            <w:r>
              <w:rPr>
                <w:rFonts w:hint="eastAsia" w:ascii="宋体" w:hAnsi="宋体" w:eastAsia="宋体" w:cs="宋体"/>
                <w:sz w:val="21"/>
              </w:rPr>
              <w:br/>
              <w:t xml:space="preserve">4、屏幕：LCD屏幕不小于3.5英寸，分辨率不低于384 x 288 阵列，探测器刷新率不低于60Hz; 屏幕刷新率不低于30Hz;2倍和4倍数字变焦；</w:t>
            </w:r>
            <w:r>
              <w:rPr>
                <w:rFonts w:hint="eastAsia" w:ascii="宋体" w:hAnsi="宋体" w:eastAsia="宋体" w:cs="宋体"/>
                <w:sz w:val="21"/>
              </w:rPr>
              <w:br/>
              <w:t xml:space="preserve">5、传感器：需采用非晶硅材料，传感器敏感度NETD&lt;50mK (0.05℃)；</w:t>
            </w:r>
            <w:r>
              <w:rPr>
                <w:rFonts w:hint="eastAsia" w:ascii="宋体" w:hAnsi="宋体" w:eastAsia="宋体" w:cs="宋体"/>
                <w:sz w:val="21"/>
              </w:rPr>
              <w:br/>
              <w:t xml:space="preserve">6、屏幕色彩模式不低于6种，分别提供火场、人员搜救、预估、检测、失踪人员、火情模式便于各种情况下使用；色彩模式、系统故障警告、温度过热警告等信息需要以中文显示在屏幕上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sz w:val="21"/>
              </w:rPr>
              <w:br/>
              <w:t xml:space="preserve">7、热像仪防护等级需满足IP67，可以短暂置于水中；满足2米跌落试验。在80℃环境下工作30分钟，在120℃环境下工作10分钟，在260℃环境下工作5分钟。</w:t>
            </w:r>
            <w:r>
              <w:rPr>
                <w:rFonts w:hint="eastAsia" w:ascii="宋体" w:hAnsi="宋体" w:eastAsia="宋体" w:cs="宋体"/>
                <w:sz w:val="21"/>
              </w:rPr>
              <w:br/>
              <w:t xml:space="preserve">8、直接温度测量范围需满足：-40℃---1000℃，并具有温度变化指针显示功能。 </w:t>
            </w:r>
            <w:r>
              <w:rPr>
                <w:rFonts w:hint="eastAsia" w:ascii="宋体" w:hAnsi="宋体" w:eastAsia="宋体" w:cs="宋体"/>
                <w:sz w:val="21"/>
              </w:rPr>
              <w:br/>
              <w:t xml:space="preserve">9、需标配火场中最高温及最低温指针搜寻功能，并同时显示最高及最低温度，便于火场中快速定位及冷热追踪。需标配电子罗盘功能，可用中文在屏幕上显示东、西、南、北及东北、西北、东南、西南的方向。</w:t>
            </w:r>
            <w:r>
              <w:rPr>
                <w:rFonts w:hint="eastAsia" w:ascii="宋体" w:hAnsi="宋体" w:eastAsia="宋体" w:cs="宋体"/>
                <w:sz w:val="21"/>
              </w:rPr>
              <w:br/>
              <w:t xml:space="preserve">10、热像仪需要标配功能设置软件，与电脑连接后可以更改按键功能设置。功能按键不超过三个，功能可通过短按（不超过一秒）或长按（三秒）激活，可以分配并满足以下热像仪功能：变焦、色彩模式循环切换、图像冻结、图像拍摄、视频录制、图像播放、视频播放、最高/最低温度搜索、激光指针激活。</w:t>
            </w:r>
            <w:r>
              <w:rPr>
                <w:rFonts w:hint="eastAsia" w:ascii="宋体" w:hAnsi="宋体" w:eastAsia="宋体" w:cs="宋体"/>
                <w:sz w:val="21"/>
              </w:rPr>
              <w:br/>
              <w:t xml:space="preserve">11、热像仪有电源及数据电源接口，可以直接充电并传输数据。需标配内置存储卡用于存储拍摄的照片和视频，存储照片数量大于500张，视频大于10小时。充电座需同时具有充电、数据传输、下载照片及视频功能，并标配充电座消防车固定支架、充电座与电脑USB连接线、热像仪可伸缩挂绳、热像仪口袋夹。</w:t>
            </w:r>
            <w:r>
              <w:rPr>
                <w:rFonts w:hint="eastAsia" w:ascii="宋体" w:hAnsi="宋体" w:eastAsia="宋体" w:cs="宋体"/>
                <w:sz w:val="21"/>
              </w:rPr>
              <w:br/>
              <w:t xml:space="preserve">12、热像仪开机仅需按一下开关键，开机时间≤6秒，关机时间≤3秒。</w:t>
            </w:r>
            <w:r>
              <w:rPr>
                <w:rFonts w:hint="eastAsia" w:ascii="宋体" w:hAnsi="宋体" w:eastAsia="宋体" w:cs="宋体"/>
                <w:sz w:val="21"/>
              </w:rPr>
              <w:br/>
              <w:t xml:space="preserve">13、保修期（含电池）不得少于5年，探测器质保期不得少于10年。</w:t>
            </w:r>
            <w:r>
              <w:rPr>
                <w:rFonts w:hint="eastAsia" w:ascii="宋体" w:hAnsi="宋体" w:eastAsia="宋体" w:cs="宋体"/>
                <w:sz w:val="21"/>
              </w:rPr>
              <w:br/>
              <w:t xml:space="preserve">14、全套装备应包括：热像仪主机、具有充电和数据传输功能充电座、快速入门指南、两块充电电池、USB连接线、可伸缩挂绳、车充固定支架、车充电源套件、口袋夹                                                </w:t>
            </w:r>
            <w:r>
              <w:rPr>
                <w:rFonts w:hint="eastAsia" w:ascii="宋体" w:hAnsi="宋体" w:eastAsia="宋体" w:cs="宋体"/>
                <w:sz w:val="21"/>
              </w:rPr>
              <w:br/>
              <w:t xml:space="preserve">15、具备激光测距功能，测量距离≥80m，可测量并显示被测物体与主机间的直线距离；</w:t>
            </w:r>
            <w:r>
              <w:rPr>
                <w:rFonts w:hint="eastAsia" w:ascii="宋体" w:hAnsi="宋体" w:eastAsia="宋体" w:cs="宋体"/>
                <w:sz w:val="21"/>
              </w:rPr>
              <w:br/>
              <w:t xml:space="preserve">16、热像仪尺寸不超过（H*W*D）：≦220mm*110mm*85mm,重量（含</w:t>
            </w:r>
            <w:r>
              <w:rPr>
                <w:rFonts w:hint="eastAsia" w:ascii="宋体" w:hAnsi="宋体" w:eastAsia="宋体" w:cs="宋体"/>
                <w:sz w:val="21"/>
              </w:rPr>
              <w:t xml:space="preserve">充电电池）不超过900克16、主机自带照明灯，黑暗环境可作为照明使用，可通过按键实现照明灯的开启或关闭。                                                                                                </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测温仪</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2</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1、手枪型红外测温仪，内置双激光点定位功能及白色背光LCD显示/数据保持 /自动关机/最大、最小值、平均值/温差测量/高温/低温报警/K型热电偶输入/USB接口及数据存储等功能，温度单位可切换。</w:t>
            </w:r>
            <w:r>
              <w:rPr>
                <w:rFonts w:hint="eastAsia" w:ascii="宋体" w:hAnsi="宋体" w:eastAsia="宋体" w:cs="宋体"/>
                <w:sz w:val="21"/>
              </w:rPr>
              <w:br/>
              <w:t xml:space="preserve">2、温度范围：-50度至1650度。</w:t>
            </w:r>
            <w:r>
              <w:rPr>
                <w:rFonts w:hint="eastAsia" w:ascii="宋体" w:hAnsi="宋体" w:eastAsia="宋体" w:cs="宋体"/>
                <w:sz w:val="21"/>
              </w:rPr>
              <w:br/>
              <w:t xml:space="preserve">3、距离目标：50：1。</w:t>
            </w:r>
            <w:r>
              <w:rPr>
                <w:rFonts w:hint="eastAsia" w:ascii="宋体" w:hAnsi="宋体" w:eastAsia="宋体" w:cs="宋体"/>
                <w:sz w:val="21"/>
              </w:rPr>
              <w:br/>
              <w:t xml:space="preserve">4、反应时间：＜0.15毫秒。</w:t>
            </w:r>
            <w:r>
              <w:rPr>
                <w:rFonts w:hint="eastAsia" w:ascii="宋体" w:hAnsi="宋体" w:eastAsia="宋体" w:cs="宋体"/>
                <w:sz w:val="21"/>
              </w:rPr>
              <w:br/>
              <w:t xml:space="preserve">5、基本精度（TK）：±1.5%。</w:t>
            </w:r>
            <w:r>
              <w:rPr>
                <w:rFonts w:hint="eastAsia" w:ascii="宋体" w:hAnsi="宋体" w:eastAsia="宋体" w:cs="宋体"/>
                <w:sz w:val="21"/>
              </w:rPr>
              <w:br/>
              <w:t xml:space="preserve">6、分辨率：0.1℃（1000°内），1°（1000°以上）。</w:t>
            </w:r>
            <w:r>
              <w:rPr>
                <w:rFonts w:hint="eastAsia" w:ascii="宋体" w:hAnsi="宋体" w:eastAsia="宋体" w:cs="宋体"/>
                <w:sz w:val="21"/>
              </w:rPr>
              <w:br/>
              <w:t xml:space="preserve">7、发射率：0.1-1.0。</w:t>
            </w:r>
            <w:r>
              <w:rPr>
                <w:rFonts w:hint="eastAsia" w:ascii="宋体" w:hAnsi="宋体" w:eastAsia="宋体" w:cs="宋体"/>
                <w:sz w:val="21"/>
              </w:rPr>
              <w:br/>
              <w:t xml:space="preserve">8、精度：±1%。</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漏电检测仪</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2</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水陆两用漏电探测仪，用于火灾现场、地震、台风、洪涝等自然灾害或建筑物倒塌后确定是否漏电及泄漏电源具体位置,可声光报警,避免触电事故的发生。</w:t>
            </w:r>
            <w:r>
              <w:rPr>
                <w:rFonts w:hint="eastAsia" w:ascii="宋体" w:hAnsi="宋体" w:eastAsia="宋体" w:cs="宋体"/>
                <w:sz w:val="21"/>
              </w:rPr>
              <w:br/>
              <w:t xml:space="preserve">2、探测仪可自动探测220V/50Hz、120V/60Hz交流电源的漏电状态，具备声光报警功能，当设备越接近漏电状态的电源时，声光报警装置光闪烁及发声频次越高。</w:t>
            </w:r>
            <w:r>
              <w:rPr>
                <w:rFonts w:hint="eastAsia" w:ascii="宋体" w:hAnsi="宋体" w:eastAsia="宋体" w:cs="宋体"/>
                <w:sz w:val="21"/>
              </w:rPr>
              <w:br/>
              <w:t xml:space="preserve">3、配备OLED液晶显示屏，屏幕尺寸≥1.3英寸，可显示电量、漏电强弱信息等。</w:t>
            </w:r>
            <w:r>
              <w:rPr>
                <w:rFonts w:hint="eastAsia" w:ascii="宋体" w:hAnsi="宋体" w:eastAsia="宋体" w:cs="宋体"/>
                <w:sz w:val="21"/>
              </w:rPr>
              <w:br/>
              <w:t xml:space="preserve">4、具备运动静止状态检测功能，能够检测所处状态为运动状态或静止状态，并在显示屏上显示。</w:t>
            </w:r>
            <w:r>
              <w:rPr>
                <w:rFonts w:hint="eastAsia" w:ascii="宋体" w:hAnsi="宋体" w:eastAsia="宋体" w:cs="宋体"/>
                <w:sz w:val="21"/>
              </w:rPr>
              <w:br/>
              <w:t xml:space="preserve">5、具备SOS一键紧急呼叫求救功能和照明功能，可通过仪器正面的物理按钮实现紧急呼叫。</w:t>
            </w:r>
            <w:r>
              <w:rPr>
                <w:rFonts w:hint="eastAsia" w:ascii="宋体" w:hAnsi="宋体" w:eastAsia="宋体" w:cs="宋体"/>
                <w:sz w:val="21"/>
              </w:rPr>
              <w:br/>
              <w:t xml:space="preserve">6、探测仪内置可充电电池，续航时间≥8h，可在显示屏显示电量情况，当电量过低时，可在显示屏显示“电量低”提示信息。</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7、防护等级≥IP67，抗跌落高度：≥1m。</w:t>
            </w:r>
            <w:r>
              <w:rPr>
                <w:rFonts w:hint="eastAsia" w:ascii="宋体" w:hAnsi="宋体" w:eastAsia="宋体" w:cs="宋体"/>
                <w:sz w:val="21"/>
              </w:rPr>
              <w:br/>
              <w:t xml:space="preserve">8、工作温度：-40℃至60℃。</w:t>
            </w:r>
            <w:r>
              <w:rPr>
                <w:rFonts w:hint="eastAsia" w:ascii="宋体" w:hAnsi="宋体" w:eastAsia="宋体" w:cs="宋体"/>
                <w:sz w:val="21"/>
              </w:rPr>
              <w:br/>
              <w:t xml:space="preserve">9、设备须通过振动（正弦）试验：频率范围5～55Hz，驱动振幅0.15mm，扫描速率1otc/min。</w:t>
            </w:r>
            <w:r>
              <w:rPr>
                <w:rFonts w:hint="eastAsia" w:ascii="宋体" w:hAnsi="宋体" w:eastAsia="宋体" w:cs="宋体"/>
                <w:sz w:val="21"/>
              </w:rPr>
              <w:br/>
              <w:t xml:space="preserve">10、需提供国家认可的第三方检测检验机构出具的检测检验报告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激光测距仪</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量程：3-1000米</w:t>
            </w:r>
            <w:r>
              <w:rPr>
                <w:rFonts w:hint="eastAsia" w:ascii="宋体" w:hAnsi="宋体" w:eastAsia="宋体" w:cs="宋体"/>
                <w:sz w:val="21"/>
              </w:rPr>
              <w:br/>
              <w:t xml:space="preserve">电源 ：锂电池</w:t>
            </w:r>
            <w:r>
              <w:rPr>
                <w:rFonts w:hint="eastAsia" w:ascii="宋体" w:hAnsi="宋体" w:eastAsia="宋体" w:cs="宋体"/>
                <w:sz w:val="21"/>
              </w:rPr>
              <w:br/>
              <w:t xml:space="preserve">测量单位： 米(m)、码(Yd)</w:t>
            </w:r>
            <w:r>
              <w:rPr>
                <w:rFonts w:hint="eastAsia" w:ascii="宋体" w:hAnsi="宋体" w:eastAsia="宋体" w:cs="宋体"/>
                <w:sz w:val="21"/>
              </w:rPr>
              <w:br/>
              <w:t xml:space="preserve">测距误差： ±0.3m</w:t>
            </w:r>
            <w:r>
              <w:rPr>
                <w:rFonts w:hint="eastAsia" w:ascii="宋体" w:hAnsi="宋体" w:eastAsia="宋体" w:cs="宋体"/>
                <w:sz w:val="21"/>
              </w:rPr>
              <w:br/>
              <w:t xml:space="preserve">测量角度范围： -90°~90°</w:t>
            </w:r>
            <w:r>
              <w:rPr>
                <w:rFonts w:hint="eastAsia" w:ascii="宋体" w:hAnsi="宋体" w:eastAsia="宋体" w:cs="宋体"/>
                <w:sz w:val="21"/>
              </w:rPr>
              <w:br/>
              <w:t xml:space="preserve">弹道补偿角度范围： -20°~20°</w:t>
            </w:r>
            <w:r>
              <w:rPr>
                <w:rFonts w:hint="eastAsia" w:ascii="宋体" w:hAnsi="宋体" w:eastAsia="宋体" w:cs="宋体"/>
                <w:sz w:val="21"/>
              </w:rPr>
              <w:br/>
              <w:t xml:space="preserve">测高最小高度起：1m</w:t>
            </w:r>
            <w:r>
              <w:rPr>
                <w:rFonts w:hint="eastAsia" w:ascii="宋体" w:hAnsi="宋体" w:eastAsia="宋体" w:cs="宋体"/>
                <w:sz w:val="21"/>
              </w:rPr>
              <w:br/>
              <w:t xml:space="preserve">测角误差:±1°</w:t>
            </w:r>
            <w:r>
              <w:rPr>
                <w:rFonts w:hint="eastAsia" w:ascii="宋体" w:hAnsi="宋体" w:eastAsia="宋体" w:cs="宋体"/>
                <w:sz w:val="21"/>
              </w:rPr>
              <w:br/>
              <w:t xml:space="preserve">激光波长：905 nm</w:t>
            </w:r>
            <w:r>
              <w:rPr>
                <w:rFonts w:hint="eastAsia" w:ascii="宋体" w:hAnsi="宋体" w:eastAsia="宋体" w:cs="宋体"/>
                <w:sz w:val="21"/>
              </w:rPr>
              <w:br/>
              <w:t xml:space="preserve">视力安全：FDA（CFR 21）</w:t>
            </w:r>
            <w:r>
              <w:rPr>
                <w:rFonts w:hint="eastAsia" w:ascii="宋体" w:hAnsi="宋体" w:eastAsia="宋体" w:cs="宋体"/>
                <w:sz w:val="21"/>
              </w:rPr>
              <w:br/>
              <w:t xml:space="preserve">望远镜倍率：7X</w:t>
            </w:r>
            <w:r>
              <w:rPr>
                <w:rFonts w:hint="eastAsia" w:ascii="宋体" w:hAnsi="宋体" w:eastAsia="宋体" w:cs="宋体"/>
                <w:sz w:val="21"/>
              </w:rPr>
              <w:br/>
              <w:t xml:space="preserve">望远镜物镜孔径：23mm</w:t>
            </w:r>
            <w:r>
              <w:rPr>
                <w:rFonts w:hint="eastAsia" w:ascii="宋体" w:hAnsi="宋体" w:eastAsia="宋体" w:cs="宋体"/>
                <w:sz w:val="21"/>
              </w:rPr>
              <w:br/>
              <w:t xml:space="preserve">望远镜目镜孔径：16mm</w:t>
            </w:r>
            <w:r>
              <w:rPr>
                <w:rFonts w:hint="eastAsia" w:ascii="宋体" w:hAnsi="宋体" w:eastAsia="宋体" w:cs="宋体"/>
                <w:sz w:val="21"/>
              </w:rPr>
              <w:br/>
              <w:t xml:space="preserve">出瞳直径 3.7mm</w:t>
            </w:r>
            <w:r>
              <w:rPr>
                <w:rFonts w:hint="eastAsia" w:ascii="宋体" w:hAnsi="宋体" w:eastAsia="宋体" w:cs="宋体"/>
                <w:sz w:val="21"/>
              </w:rPr>
              <w:br/>
              <w:t xml:space="preserve">屈光度 ±5D</w:t>
            </w:r>
            <w:r>
              <w:rPr>
                <w:rFonts w:hint="eastAsia" w:ascii="宋体" w:hAnsi="宋体" w:eastAsia="宋体" w:cs="宋体"/>
                <w:sz w:val="21"/>
              </w:rPr>
              <w:br/>
              <w:t xml:space="preserve">镜片镀膜：A5</w:t>
            </w:r>
            <w:r>
              <w:rPr>
                <w:rFonts w:hint="eastAsia" w:ascii="宋体" w:hAnsi="宋体" w:eastAsia="宋体" w:cs="宋体"/>
                <w:sz w:val="21"/>
              </w:rPr>
              <w:br/>
              <w:t xml:space="preserve">测速范围： 18~300km/h</w:t>
            </w:r>
            <w:r>
              <w:rPr>
                <w:rFonts w:hint="eastAsia" w:ascii="宋体" w:hAnsi="宋体" w:eastAsia="宋体" w:cs="宋体"/>
                <w:sz w:val="21"/>
              </w:rPr>
              <w:br/>
              <w:t xml:space="preserve">液晶显示器： 透过式LCD Transflective  LCD</w:t>
            </w:r>
            <w:r>
              <w:rPr>
                <w:rFonts w:hint="eastAsia" w:ascii="宋体" w:hAnsi="宋体" w:eastAsia="宋体" w:cs="宋体"/>
                <w:sz w:val="21"/>
              </w:rPr>
              <w:br/>
              <w:t xml:space="preserve">尺寸:110x74x44.5mm</w:t>
            </w:r>
            <w:r>
              <w:rPr>
                <w:rFonts w:hint="eastAsia" w:ascii="宋体" w:hAnsi="宋体" w:eastAsia="宋体" w:cs="宋体"/>
                <w:sz w:val="21"/>
              </w:rPr>
              <w:br/>
            </w:r>
            <w:r>
              <w:rPr>
                <w:rFonts w:hint="eastAsia" w:ascii="宋体" w:hAnsi="宋体" w:eastAsia="宋体" w:cs="宋体"/>
                <w:sz w:val="21"/>
              </w:rPr>
              <w:t xml:space="preserve">重量：180g</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望远镜</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1、金属内胆，防水防雾；</w:t>
            </w:r>
            <w:r>
              <w:rPr>
                <w:rFonts w:hint="eastAsia" w:ascii="宋体" w:hAnsi="宋体" w:eastAsia="宋体" w:cs="宋体"/>
                <w:sz w:val="21"/>
              </w:rPr>
              <w:br/>
              <w:t xml:space="preserve">2、旋转升降的眼罩，屈光度可调；</w:t>
            </w:r>
            <w:r>
              <w:rPr>
                <w:rFonts w:hint="eastAsia" w:ascii="宋体" w:hAnsi="宋体" w:eastAsia="宋体" w:cs="宋体"/>
                <w:sz w:val="21"/>
              </w:rPr>
              <w:br/>
              <w:t xml:space="preserve">3、光学倍率： 10x</w:t>
            </w:r>
            <w:r>
              <w:rPr>
                <w:rFonts w:hint="eastAsia" w:ascii="宋体" w:hAnsi="宋体" w:eastAsia="宋体" w:cs="宋体"/>
                <w:sz w:val="21"/>
              </w:rPr>
              <w:br/>
              <w:t xml:space="preserve">4、物镜口径：42mm</w:t>
            </w:r>
            <w:r>
              <w:rPr>
                <w:rFonts w:hint="eastAsia" w:ascii="宋体" w:hAnsi="宋体" w:eastAsia="宋体" w:cs="宋体"/>
                <w:sz w:val="21"/>
              </w:rPr>
              <w:br/>
              <w:t xml:space="preserve">5、出瞳距离：≥17mm</w:t>
            </w:r>
            <w:r>
              <w:rPr>
                <w:rFonts w:hint="eastAsia" w:ascii="宋体" w:hAnsi="宋体" w:eastAsia="宋体" w:cs="宋体"/>
                <w:sz w:val="21"/>
              </w:rPr>
              <w:br/>
              <w:t xml:space="preserve">6、视场：≥7.3°</w:t>
            </w:r>
            <w:r>
              <w:rPr>
                <w:rFonts w:hint="eastAsia" w:ascii="宋体" w:hAnsi="宋体" w:eastAsia="宋体" w:cs="宋体"/>
                <w:sz w:val="21"/>
              </w:rPr>
              <w:br/>
              <w:t xml:space="preserve">7、棱镜材质：BAK4棱镜</w:t>
            </w:r>
            <w:r>
              <w:rPr>
                <w:rFonts w:hint="eastAsia" w:ascii="宋体" w:hAnsi="宋体" w:eastAsia="宋体" w:cs="宋体"/>
                <w:sz w:val="21"/>
              </w:rPr>
              <w:br/>
              <w:t xml:space="preserve">8、镜片材质：HMAIED镜片</w:t>
            </w:r>
            <w:r>
              <w:rPr>
                <w:rFonts w:hint="eastAsia" w:ascii="宋体" w:hAnsi="宋体" w:eastAsia="宋体" w:cs="宋体"/>
                <w:sz w:val="21"/>
              </w:rPr>
              <w:br/>
              <w:t xml:space="preserve">9、千米视野：≥115m</w:t>
            </w:r>
            <w:r>
              <w:rPr>
                <w:rFonts w:hint="eastAsia" w:ascii="宋体" w:hAnsi="宋体" w:eastAsia="宋体" w:cs="宋体"/>
                <w:sz w:val="21"/>
              </w:rPr>
              <w:br/>
              <w:t xml:space="preserve">10、对焦方式 ：中心调焦</w:t>
            </w:r>
            <w:r>
              <w:rPr>
                <w:rFonts w:hint="eastAsia" w:ascii="宋体" w:hAnsi="宋体" w:eastAsia="宋体" w:cs="宋体"/>
                <w:sz w:val="21"/>
              </w:rPr>
              <w:br/>
              <w:t xml:space="preserve">11、瞳距调节范围:56-72mm</w:t>
            </w:r>
            <w:r>
              <w:rPr>
                <w:rFonts w:hint="eastAsia" w:ascii="宋体" w:hAnsi="宋体" w:eastAsia="宋体" w:cs="宋体"/>
                <w:sz w:val="21"/>
              </w:rPr>
              <w:br/>
              <w:t xml:space="preserve">12、屈光度调节:±4dpt</w:t>
            </w:r>
            <w:r>
              <w:rPr>
                <w:rFonts w:hint="eastAsia" w:ascii="宋体" w:hAnsi="宋体" w:eastAsia="宋体" w:cs="宋体"/>
                <w:sz w:val="21"/>
              </w:rPr>
              <w:br/>
              <w:t xml:space="preserve">13、工作温度:-30/+50℃</w:t>
            </w:r>
            <w:r>
              <w:rPr>
                <w:rFonts w:hint="eastAsia" w:ascii="宋体" w:hAnsi="宋体" w:eastAsia="宋体" w:cs="宋体"/>
                <w:sz w:val="21"/>
              </w:rPr>
              <w:br/>
              <w:t xml:space="preserve">14、外形尺寸:≤145X115X52(mm)</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电子气象仪</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台</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袖珍型专业手持气象仪，支持温度、湿度、气压、风速、风向、光照、紫外线等要素测量，内置天气预报、人体舒适度、红外测温、指南针、定位轨迹、海拔、卫星通讯等辅助监测功能，具有手电筒、SOS求救信号、无线电静默、校准等特色功能。整机重量轻，单手可握的小巧设计。</w:t>
            </w:r>
            <w:r>
              <w:rPr>
                <w:rFonts w:hint="eastAsia" w:ascii="宋体" w:hAnsi="宋体" w:eastAsia="宋体" w:cs="宋体"/>
                <w:sz w:val="21"/>
              </w:rPr>
              <w:br/>
              <w:t xml:space="preserve">1、温度测量范围：-30℃~70℃，-40℃~80℃(宽温型)</w:t>
            </w:r>
            <w:r>
              <w:rPr>
                <w:rFonts w:hint="eastAsia" w:ascii="宋体" w:hAnsi="宋体" w:eastAsia="宋体" w:cs="宋体"/>
                <w:sz w:val="21"/>
              </w:rPr>
              <w:br/>
              <w:t xml:space="preserve">2、红外测温范围：-70℃~380℃</w:t>
            </w:r>
            <w:r>
              <w:rPr>
                <w:rFonts w:hint="eastAsia" w:ascii="宋体" w:hAnsi="宋体" w:eastAsia="宋体" w:cs="宋体"/>
                <w:sz w:val="21"/>
              </w:rPr>
              <w:br/>
              <w:t xml:space="preserve">3、湿度测量范围：0%RH~100%RH</w:t>
            </w:r>
            <w:r>
              <w:rPr>
                <w:rFonts w:hint="eastAsia" w:ascii="宋体" w:hAnsi="宋体" w:eastAsia="宋体" w:cs="宋体"/>
                <w:sz w:val="21"/>
              </w:rPr>
              <w:br/>
              <w:t xml:space="preserve">4、气压测量范围：300hPa~1100hPa</w:t>
            </w:r>
            <w:r>
              <w:rPr>
                <w:rFonts w:hint="eastAsia" w:ascii="宋体" w:hAnsi="宋体" w:eastAsia="宋体" w:cs="宋体"/>
                <w:sz w:val="21"/>
              </w:rPr>
              <w:br/>
              <w:t xml:space="preserve">5、风速测量范围：0~40m/s</w:t>
            </w:r>
            <w:r>
              <w:rPr>
                <w:rFonts w:hint="eastAsia" w:ascii="宋体" w:hAnsi="宋体" w:eastAsia="宋体" w:cs="宋体"/>
                <w:sz w:val="21"/>
              </w:rPr>
              <w:br/>
              <w:t xml:space="preserve">6、风向测量范围：0~360°</w:t>
            </w:r>
            <w:r>
              <w:rPr>
                <w:rFonts w:hint="eastAsia" w:ascii="宋体" w:hAnsi="宋体" w:eastAsia="宋体" w:cs="宋体"/>
                <w:sz w:val="21"/>
              </w:rPr>
              <w:br/>
              <w:t xml:space="preserve">7、光照动态范围：0~128000 lx</w:t>
            </w:r>
            <w:r>
              <w:rPr>
                <w:rFonts w:hint="eastAsia" w:ascii="宋体" w:hAnsi="宋体" w:eastAsia="宋体" w:cs="宋体"/>
                <w:sz w:val="21"/>
              </w:rPr>
              <w:br/>
              <w:t xml:space="preserve">8、冷启动TIFF：≤35s；</w:t>
            </w:r>
            <w:r>
              <w:rPr>
                <w:rFonts w:hint="eastAsia" w:ascii="宋体" w:hAnsi="宋体" w:eastAsia="宋体" w:cs="宋体"/>
                <w:sz w:val="21"/>
              </w:rPr>
              <w:br/>
              <w:t xml:space="preserve">9、通讯接口：USB（Type C）、WIFI、BT</w:t>
            </w:r>
            <w:r>
              <w:rPr>
                <w:rFonts w:hint="eastAsia" w:ascii="宋体" w:hAnsi="宋体" w:eastAsia="宋体" w:cs="宋体"/>
                <w:sz w:val="21"/>
              </w:rPr>
              <w:br/>
              <w:t xml:space="preserve">10、电池类型：锂聚合物电池，电压3.7V，容量≥3800mAh。</w:t>
            </w:r>
            <w:r>
              <w:rPr>
                <w:rFonts w:hint="eastAsia" w:ascii="宋体" w:hAnsi="宋体" w:eastAsia="宋体" w:cs="宋体"/>
                <w:sz w:val="21"/>
              </w:rPr>
              <w:br/>
              <w:t xml:space="preserve">11、电池续航：连续亮屏工作≥24小时，待机工作≥200小时</w:t>
            </w:r>
            <w:r>
              <w:rPr>
                <w:rFonts w:hint="eastAsia" w:ascii="宋体" w:hAnsi="宋体" w:eastAsia="宋体" w:cs="宋体"/>
                <w:sz w:val="21"/>
              </w:rPr>
              <w:br/>
              <w:t xml:space="preserve">12、整机重量：≤180g</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救生气垫</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套</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1、气垫性能应符合XF631-2006标准，</w:t>
            </w:r>
            <w:r>
              <w:rPr>
                <w:rFonts w:hint="eastAsia" w:ascii="宋体" w:hAnsi="宋体" w:eastAsia="宋体" w:cs="宋体"/>
                <w:sz w:val="21"/>
              </w:rPr>
              <w:br/>
              <w:t xml:space="preserve">2、气垫采用气柱式设计，充气前充气后都方便移动。长≤4.5m，宽≤4.5m，高≤2.5m</w:t>
            </w:r>
            <w:r>
              <w:rPr>
                <w:rFonts w:hint="eastAsia" w:ascii="宋体" w:hAnsi="宋体" w:eastAsia="宋体" w:cs="宋体"/>
                <w:sz w:val="21"/>
              </w:rPr>
              <w:br/>
              <w:t xml:space="preserve">3、气垫总量≤70kg，储存年限≥2年</w:t>
            </w:r>
            <w:r>
              <w:rPr>
                <w:rFonts w:hint="eastAsia" w:ascii="宋体" w:hAnsi="宋体" w:eastAsia="宋体" w:cs="宋体"/>
                <w:sz w:val="21"/>
              </w:rPr>
              <w:br/>
              <w:t xml:space="preserve">4、气垫主立柱及底部分别配有不少于四个把手，方便人员抬起移动。</w:t>
            </w:r>
            <w:r>
              <w:rPr>
                <w:rFonts w:hint="eastAsia" w:ascii="宋体" w:hAnsi="宋体" w:eastAsia="宋体" w:cs="宋体"/>
                <w:sz w:val="21"/>
              </w:rPr>
              <w:br/>
              <w:t xml:space="preserve">5、气垫配有气压表，可显示工作气压。</w:t>
            </w:r>
            <w:r>
              <w:rPr>
                <w:rFonts w:hint="eastAsia" w:ascii="宋体" w:hAnsi="宋体" w:eastAsia="宋体" w:cs="宋体"/>
                <w:sz w:val="21"/>
              </w:rPr>
              <w:br/>
              <w:t xml:space="preserve">6、气垫顶部应有明显的区域范围标识，更容易找准跌落位置。</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7、气柱主体框架采用厚度≥0.7mm的PVC夹网布，不少于8根立柱。经向拉伸强度≥2900N/5cm，纬向拉伸强度≥2500N/5cm，经向撕裂强度≥390N，纬向撕裂强度≥275N</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8、承接面采用厚度≥0.4mm，密度≥840D 的阻燃PVC夹网布，经向拉伸强度≥2100N/5cm，纬向拉伸强度≥1800N/5cm，氧指数≥26，经向撕裂强度≥340N，纬向撕裂强度≥270N</w:t>
            </w:r>
            <w:r>
              <w:rPr>
                <w:rFonts w:hint="eastAsia" w:ascii="宋体" w:hAnsi="宋体" w:eastAsia="宋体" w:cs="宋体"/>
                <w:sz w:val="21"/>
              </w:rPr>
              <w:br/>
              <w:t xml:space="preserve">9、气垫配有检修门设计，方便日常检查维护。</w:t>
            </w:r>
            <w:r>
              <w:rPr>
                <w:rFonts w:hint="eastAsia" w:ascii="宋体" w:hAnsi="宋体" w:eastAsia="宋体" w:cs="宋体"/>
                <w:sz w:val="21"/>
              </w:rPr>
              <w:br/>
              <w:t xml:space="preserve">10、气垫内部配有二次保护层，可拆卸式设计，防止二次伤害增加安全可靠性</w:t>
            </w:r>
            <w:r>
              <w:rPr>
                <w:rFonts w:hint="eastAsia" w:ascii="宋体" w:hAnsi="宋体" w:eastAsia="宋体" w:cs="宋体"/>
                <w:sz w:val="21"/>
              </w:rPr>
              <w:br/>
              <w:t xml:space="preserve">11、气垫侧面底部配有气瓶收纳袋，可容纳6.8L，9L，12L的300bar高压气瓶放置其中，并与气垫形成一个整体，方便移动收</w:t>
            </w:r>
            <w:r>
              <w:rPr>
                <w:rFonts w:hint="eastAsia" w:ascii="宋体" w:hAnsi="宋体" w:eastAsia="宋体" w:cs="宋体"/>
                <w:sz w:val="21"/>
              </w:rPr>
              <w:t xml:space="preserve">纳。</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12、消防救生气垫底部触地面面料经耐磨损性能试验后，其损坏程度应≤GB/T 19089规定的2级。</w:t>
            </w:r>
            <w:r>
              <w:rPr>
                <w:rFonts w:hint="eastAsia" w:ascii="宋体" w:hAnsi="宋体" w:eastAsia="宋体" w:cs="宋体"/>
                <w:sz w:val="21"/>
              </w:rPr>
              <w:br/>
              <w:t xml:space="preserve">13、消防救生气垫底部触地面面料经耐油性能试验后，质量的増加在1＃标准油作用下应不大于15%，在97＃无铅汽油作用下应在-4%~15％之间，且在干燥后表面不得留有任何可目测到的痕迹级</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14、充气时间≤28s，补气时间≤6s</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15、减速度值：头部≤30g，胸部≤27g，骨盆≤29g</w:t>
            </w:r>
            <w:r>
              <w:rPr>
                <w:rFonts w:hint="eastAsia" w:ascii="宋体" w:hAnsi="宋体" w:eastAsia="宋体" w:cs="宋体"/>
                <w:sz w:val="21"/>
              </w:rPr>
              <w:br/>
              <w:t xml:space="preserve">16、消防救生气垫需进行稳定性试验，无倾倒、侧翻或损坏等异常现象，负载不应弹出消防救生气垫承接面或直接撞击地面。</w:t>
            </w:r>
            <w:r>
              <w:rPr>
                <w:rFonts w:hint="eastAsia" w:ascii="宋体" w:hAnsi="宋体" w:eastAsia="宋体" w:cs="宋体"/>
                <w:sz w:val="21"/>
              </w:rPr>
              <w:br/>
              <w:t xml:space="preserve">17、消防救生气垫在进行可靠性试验后应完整、无损坏或其它异常现象。</w:t>
            </w:r>
            <w:r>
              <w:rPr>
                <w:rFonts w:hint="eastAsia" w:ascii="宋体" w:hAnsi="宋体" w:eastAsia="宋体" w:cs="宋体"/>
                <w:sz w:val="21"/>
              </w:rPr>
              <w:br/>
              <w:t xml:space="preserve">18、消防救生气垫在进行高低温性能试验后立即进行救援性能试验应无倾倒、侧翻或损坏等异常现象，负载不应弹出消防救生气垫承接面或直接撞击地面。</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19、气柱型消防救生气垫气柱经气密性试验后，其气压下降值应≤0.30kPa</w:t>
            </w:r>
            <w:r>
              <w:rPr>
                <w:rFonts w:hint="eastAsia" w:ascii="宋体" w:hAnsi="宋体" w:eastAsia="宋体" w:cs="宋体"/>
                <w:sz w:val="21"/>
              </w:rPr>
              <w:br/>
              <w:t xml:space="preserve">20、可使用300bar压力的6.8L或者9L气瓶充气，有专用的快速充气接口，同时具有电动泵及脚踏泵的充气接口可以随时补气。</w:t>
            </w:r>
            <w:r>
              <w:rPr>
                <w:rFonts w:hint="eastAsia" w:ascii="宋体" w:hAnsi="宋体" w:eastAsia="宋体" w:cs="宋体"/>
                <w:sz w:val="21"/>
              </w:rPr>
              <w:br/>
              <w:t xml:space="preserve">21、产品适用最大高度16m；</w:t>
            </w:r>
            <w:r>
              <w:rPr>
                <w:rFonts w:hint="eastAsia" w:ascii="宋体" w:hAnsi="宋体" w:eastAsia="宋体" w:cs="宋体"/>
                <w:sz w:val="21"/>
              </w:rPr>
              <w:br/>
              <w:t xml:space="preserve">22、需提供国家认可的第三方检测检验机构出具的检测检验报告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移动排烟机（汽油）</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台</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符合《GB27901-2011移动式消防排烟机》标准。用于火灾现场的正压排烟及送风。</w:t>
            </w:r>
            <w:r>
              <w:rPr>
                <w:rFonts w:hint="eastAsia" w:ascii="宋体" w:hAnsi="宋体" w:eastAsia="宋体" w:cs="宋体"/>
                <w:sz w:val="21"/>
              </w:rPr>
              <w:br/>
              <w:t xml:space="preserve">1、燃油发动机，功率≥3.0KW;</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2、强劲风力技术、超强风压，排烟量≥58000立方米/小时；</w:t>
            </w:r>
            <w:r>
              <w:rPr>
                <w:rFonts w:hint="eastAsia" w:ascii="宋体" w:hAnsi="宋体" w:eastAsia="宋体" w:cs="宋体"/>
                <w:sz w:val="21"/>
              </w:rPr>
              <w:br/>
              <w:t xml:space="preserve">3、风扇直径≤45CM、加固型合成树脂叶片；</w:t>
            </w:r>
            <w:r>
              <w:rPr>
                <w:rFonts w:hint="eastAsia" w:ascii="宋体" w:hAnsi="宋体" w:eastAsia="宋体" w:cs="宋体"/>
                <w:sz w:val="21"/>
              </w:rPr>
              <w:br/>
              <w:t xml:space="preserve">4、金属防护架环绕整个机器，即坚固耐用、又可对排烟机任何方向的倒落起到完全防护；</w:t>
            </w:r>
            <w:r>
              <w:rPr>
                <w:rFonts w:hint="eastAsia" w:ascii="宋体" w:hAnsi="宋体" w:eastAsia="宋体" w:cs="宋体"/>
                <w:sz w:val="21"/>
              </w:rPr>
              <w:br/>
              <w:t xml:space="preserve">5、运转时间：≥2小时；</w:t>
            </w:r>
            <w:r>
              <w:rPr>
                <w:rFonts w:hint="eastAsia" w:ascii="宋体" w:hAnsi="宋体" w:eastAsia="宋体" w:cs="宋体"/>
                <w:sz w:val="21"/>
              </w:rPr>
              <w:br/>
              <w:t xml:space="preserve">6、重量：≤40KG;</w:t>
            </w:r>
            <w:r>
              <w:rPr>
                <w:rFonts w:hint="eastAsia" w:ascii="宋体" w:hAnsi="宋体" w:eastAsia="宋体" w:cs="宋体"/>
                <w:sz w:val="21"/>
              </w:rPr>
              <w:br/>
              <w:t xml:space="preserve">7、尺寸：≤56X56X52cm;</w:t>
            </w:r>
            <w:r>
              <w:rPr>
                <w:rFonts w:hint="eastAsia" w:ascii="宋体" w:hAnsi="宋体" w:eastAsia="宋体" w:cs="宋体"/>
                <w:sz w:val="21"/>
              </w:rPr>
              <w:br/>
              <w:t xml:space="preserve">8、配有脚轮、可方便移动；拉起扶手后、可自动调节排烟机的倾斜度以达到最理想角度；配有斜度调整杆、可使风机向下倾斜不小于10°；</w:t>
            </w:r>
            <w:r>
              <w:rPr>
                <w:rFonts w:hint="eastAsia" w:ascii="宋体" w:hAnsi="宋体" w:eastAsia="宋体" w:cs="宋体"/>
                <w:sz w:val="21"/>
              </w:rPr>
              <w:br/>
              <w:t xml:space="preserve">9、需提供国家认可的第三方检测检验机构出具的检测检验报告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水驱动排烟机</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台</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符合《GB27901-2011移动式消防排烟机》标准。用于火灾现场的正压排烟及送风；</w:t>
            </w:r>
            <w:r>
              <w:rPr>
                <w:rFonts w:hint="eastAsia" w:ascii="宋体" w:hAnsi="宋体" w:eastAsia="宋体" w:cs="宋体"/>
                <w:sz w:val="21"/>
              </w:rPr>
              <w:br/>
              <w:t xml:space="preserve">1、水驱动铝制马达、功率≥6.7KW；</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2、强劲风力技术、超强风压，排烟量≥79000立方米/小时；</w:t>
            </w:r>
            <w:r>
              <w:rPr>
                <w:rFonts w:hint="eastAsia" w:ascii="宋体" w:hAnsi="宋体" w:eastAsia="宋体" w:cs="宋体"/>
                <w:sz w:val="21"/>
              </w:rPr>
              <w:br/>
              <w:t xml:space="preserve">3、加固型合成树脂叶片，风扇直径≤60cm;</w:t>
            </w:r>
            <w:r>
              <w:rPr>
                <w:rFonts w:hint="eastAsia" w:ascii="宋体" w:hAnsi="宋体" w:eastAsia="宋体" w:cs="宋体"/>
                <w:sz w:val="21"/>
              </w:rPr>
              <w:br/>
              <w:t xml:space="preserve">4、金属防护架环绕整个机器，即坚固耐用、又可对排烟机任何方向的倒落起到完全防护；</w:t>
            </w:r>
            <w:r>
              <w:rPr>
                <w:rFonts w:hint="eastAsia" w:ascii="宋体" w:hAnsi="宋体" w:eastAsia="宋体" w:cs="宋体"/>
                <w:sz w:val="21"/>
              </w:rPr>
              <w:br/>
              <w:t xml:space="preserve">5、额定水压≥10BAR；</w:t>
            </w:r>
            <w:r>
              <w:rPr>
                <w:rFonts w:hint="eastAsia" w:ascii="宋体" w:hAnsi="宋体" w:eastAsia="宋体" w:cs="宋体"/>
                <w:sz w:val="21"/>
              </w:rPr>
              <w:br/>
              <w:t xml:space="preserve">6、额定流量≥620升/分钟；</w:t>
            </w:r>
            <w:r>
              <w:rPr>
                <w:rFonts w:hint="eastAsia" w:ascii="宋体" w:hAnsi="宋体" w:eastAsia="宋体" w:cs="宋体"/>
                <w:sz w:val="21"/>
              </w:rPr>
              <w:br/>
              <w:t xml:space="preserve">7、配有压力表、可实时监测水压情况；</w:t>
            </w:r>
            <w:r>
              <w:rPr>
                <w:rFonts w:hint="eastAsia" w:ascii="宋体" w:hAnsi="宋体" w:eastAsia="宋体" w:cs="宋体"/>
                <w:sz w:val="21"/>
              </w:rPr>
              <w:br/>
              <w:t xml:space="preserve">8、重量：≤55KG；</w:t>
            </w:r>
            <w:r>
              <w:rPr>
                <w:rFonts w:hint="eastAsia" w:ascii="宋体" w:hAnsi="宋体" w:eastAsia="宋体" w:cs="宋体"/>
                <w:sz w:val="21"/>
              </w:rPr>
              <w:br/>
              <w:t xml:space="preserve">9、尺寸：≤75X75X65cm；</w:t>
            </w:r>
            <w:r>
              <w:rPr>
                <w:rFonts w:hint="eastAsia" w:ascii="宋体" w:hAnsi="宋体" w:eastAsia="宋体" w:cs="宋体"/>
                <w:sz w:val="21"/>
              </w:rPr>
              <w:br/>
              <w:t xml:space="preserve">10、配有脚轮、可方便移动；</w:t>
            </w:r>
            <w:r>
              <w:rPr>
                <w:rFonts w:hint="eastAsia" w:ascii="宋体" w:hAnsi="宋体" w:eastAsia="宋体" w:cs="宋体"/>
                <w:sz w:val="21"/>
              </w:rPr>
              <w:br/>
              <w:t xml:space="preserve">11、拉起扶手后、可自动调节排烟机的倾斜度区间不小于-10-+20度，以达到最理想角度</w:t>
            </w:r>
            <w:r>
              <w:rPr>
                <w:rFonts w:hint="eastAsia" w:ascii="宋体" w:hAnsi="宋体" w:eastAsia="宋体" w:cs="宋体"/>
                <w:sz w:val="21"/>
              </w:rPr>
              <w:br/>
              <w:t xml:space="preserve">12、需提供国家认可的第三方检测检验机构出具的检测检验报告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移动发电机（静音）</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台</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1、便携式静音型智能发电机符合GB/T 2820.8和GB/T 2820.10往复式内燃机驱动的发电机组的标准要求，适用于消防救援、野外拉练、应急供电等需求，具有重量轻、噪音低、运行时间长、携行方便，作业环境要求低等特点。</w:t>
            </w:r>
            <w:r>
              <w:rPr>
                <w:rFonts w:hint="eastAsia" w:ascii="宋体" w:hAnsi="宋体" w:eastAsia="宋体" w:cs="宋体"/>
                <w:sz w:val="21"/>
              </w:rPr>
              <w:br/>
              <w:t xml:space="preserve">2、便携式静音型智能发电机的发动机采用单缸四冲程风冷发动机，排气量≥212cc，发电机采用数码变频控制技术，满负荷≥6h，1/4 负载≥15h，油箱容量≥13L，CDI点火系统，手起动/电起动/APP起动均可，噪声符合CE 标准&lt;72dBA@4米。</w:t>
            </w:r>
            <w:r>
              <w:rPr>
                <w:rFonts w:hint="eastAsia" w:ascii="宋体" w:hAnsi="宋体" w:eastAsia="宋体" w:cs="宋体"/>
                <w:sz w:val="21"/>
              </w:rPr>
              <w:br/>
              <w:t xml:space="preserve">3、纯正弦波输出，THD &lt;3%，2个AC输出插座，额定输出电压220V，额定频率50Hz，额定输出≥3.7kVA，最大输出≥4.2kVA；1个12V点烟器+1个12V T型DC插座输出接口，额定电流8A；1个电池充电接口；2个USB接口，输出为5V/2A/1A；一对并机接口；输出复位功能。</w:t>
            </w:r>
            <w:r>
              <w:rPr>
                <w:rFonts w:hint="eastAsia" w:ascii="宋体" w:hAnsi="宋体" w:eastAsia="宋体" w:cs="宋体"/>
                <w:sz w:val="21"/>
              </w:rPr>
              <w:br/>
              <w:t xml:space="preserve">4、发电机配备智能无线监控系统，发电机内置有WIFI模块，不需要路由器，手机可通过WIFI与发电机直接相连，通过手机APP可以起动或关闭发动机。</w:t>
            </w:r>
            <w:r>
              <w:rPr>
                <w:rFonts w:hint="eastAsia" w:ascii="宋体" w:hAnsi="宋体" w:eastAsia="宋体" w:cs="宋体"/>
                <w:sz w:val="21"/>
              </w:rPr>
              <w:br/>
              <w:t xml:space="preserve">5、可通过手机APP对发电设备的运行参数进行实时监控，油箱配备燃油传感器，手机可以实时查看油箱剩余油量，并具有自动提醒用户按时保养发电机和故障排除功能。</w:t>
            </w:r>
            <w:r>
              <w:rPr>
                <w:rFonts w:hint="eastAsia" w:ascii="宋体" w:hAnsi="宋体" w:eastAsia="宋体" w:cs="宋体"/>
                <w:sz w:val="21"/>
              </w:rPr>
              <w:br/>
              <w:t xml:space="preserve">6、支持双机并联功能，两台发电机AC输出可以并联，获得双倍功率，并联后可达到2×3.7=7.4kVA额定输出。</w:t>
            </w:r>
            <w:r>
              <w:rPr>
                <w:rFonts w:hint="eastAsia" w:ascii="宋体" w:hAnsi="宋体" w:eastAsia="宋体" w:cs="宋体"/>
                <w:sz w:val="21"/>
              </w:rPr>
              <w:br/>
              <w:t xml:space="preserve">7、发电机内置防倾倒燃油控制系统，油箱加满油后，朝侧面倾斜放倒发电机也不会漏油，放倒后就算打开油箱盖也不会漏油，放倒后重心最低，不会因为车辆运动翻滚，车载高安全性。</w:t>
            </w:r>
            <w:r>
              <w:rPr>
                <w:rFonts w:hint="eastAsia" w:ascii="宋体" w:hAnsi="宋体" w:eastAsia="宋体" w:cs="宋体"/>
                <w:sz w:val="21"/>
              </w:rPr>
              <w:br/>
              <w:t xml:space="preserve">8、“零重力”便携式设计，在发电机侧面设置竖直向上的拉杆，大直径滚轮沿着发电机长度方向设置，内部采用重心优化设计，倾斜一定角度时可实现零重力拖行发电机。</w:t>
            </w:r>
            <w:r>
              <w:rPr>
                <w:rFonts w:hint="eastAsia" w:ascii="宋体" w:hAnsi="宋体" w:eastAsia="宋体" w:cs="宋体"/>
                <w:sz w:val="21"/>
              </w:rPr>
              <w:br/>
              <w:t xml:space="preserve">9、全地形滚轮设计，可根据现场环境，调整离地高度，最高离地高度≥10cm。</w:t>
            </w:r>
            <w:r>
              <w:rPr>
                <w:rFonts w:hint="eastAsia" w:ascii="宋体" w:hAnsi="宋体" w:eastAsia="宋体" w:cs="宋体"/>
                <w:sz w:val="21"/>
              </w:rPr>
              <w:br/>
              <w:t xml:space="preserve">10、整体重量≤48KG，</w:t>
            </w:r>
            <w:r>
              <w:rPr>
                <w:rFonts w:hint="eastAsia" w:ascii="宋体" w:hAnsi="宋体" w:eastAsia="宋体" w:cs="宋体"/>
                <w:sz w:val="21"/>
              </w:rPr>
              <w:br/>
              <w:t xml:space="preserve">11、整机需提供国家认可的第三方检测机构出具的检验报告复印件；</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消防呼救器</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45</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1、结构组成：主机、钥匙卡、充电器。</w:t>
            </w:r>
            <w:r>
              <w:rPr>
                <w:rFonts w:hint="eastAsia" w:ascii="宋体" w:hAnsi="宋体" w:eastAsia="宋体" w:cs="宋体"/>
                <w:sz w:val="21"/>
              </w:rPr>
              <w:br/>
              <w:t xml:space="preserve">2、主要应用场景：用于消防员灭火救援作业中个人防护。</w:t>
            </w:r>
            <w:r>
              <w:rPr>
                <w:rFonts w:hint="eastAsia" w:ascii="宋体" w:hAnsi="宋体" w:eastAsia="宋体" w:cs="宋体"/>
                <w:sz w:val="21"/>
              </w:rPr>
              <w:br/>
              <w:t xml:space="preserve">3、符合GB 27900-2011《消防员呼救器》。</w:t>
            </w:r>
            <w:r>
              <w:rPr>
                <w:rFonts w:hint="eastAsia" w:ascii="宋体" w:hAnsi="宋体" w:eastAsia="宋体" w:cs="宋体"/>
                <w:sz w:val="21"/>
              </w:rPr>
              <w:br/>
              <w:t xml:space="preserve">4、报警功能：①具备预报警功能：呼救器处于自动工作状态时，具有预报警功能。当静止时间超过允许静止时间时，应发出快速的断续预报警声响信号。在预 报警期间，呼救器工作方位</w:t>
            </w:r>
            <w:r>
              <w:rPr>
                <w:rFonts w:hint="eastAsia" w:ascii="宋体" w:hAnsi="宋体" w:eastAsia="宋体" w:cs="宋体"/>
                <w:sz w:val="21"/>
              </w:rPr>
              <w:t xml:space="preserve">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rPr>
                <w:rFonts w:hint="eastAsia" w:ascii="宋体" w:hAnsi="宋体" w:eastAsia="宋体" w:cs="宋体"/>
                <w:sz w:val="21"/>
              </w:rPr>
              <w:br/>
              <w:t xml:space="preserve">5、低电压告警功能：当呼救器供电电池的电压低于额定电压的80%时，应发出区别于预报警声响信号的慢速断续告警声响信号或光信号。</w:t>
            </w:r>
            <w:r>
              <w:rPr>
                <w:rFonts w:hint="eastAsia" w:ascii="宋体" w:hAnsi="宋体" w:eastAsia="宋体" w:cs="宋体"/>
                <w:sz w:val="21"/>
              </w:rPr>
              <w:br/>
              <w:t xml:space="preserve">6、通信功能：</w:t>
            </w:r>
            <w:r>
              <w:rPr>
                <w:rFonts w:hint="eastAsia" w:ascii="宋体" w:hAnsi="宋体" w:eastAsia="宋体" w:cs="宋体"/>
                <w:sz w:val="21"/>
              </w:rPr>
              <w:br/>
            </w:r>
            <w:r>
              <w:rPr>
                <w:rFonts w:hint="eastAsia" w:ascii="宋体" w:hAnsi="宋体" w:eastAsia="宋体" w:cs="宋体"/>
                <w:sz w:val="21"/>
              </w:rPr>
              <w:t xml:space="preserve">6.1呼救器处于报警状态时，发出报警声响信号和方位指示频闪光信号。</w:t>
            </w:r>
            <w:r>
              <w:rPr>
                <w:rFonts w:hint="eastAsia" w:ascii="宋体" w:hAnsi="宋体" w:eastAsia="宋体" w:cs="宋体"/>
                <w:sz w:val="21"/>
              </w:rPr>
              <w:br/>
              <w:t xml:space="preserve">6.2同时，呼救器应能发射信号至接收终端予以识别，并能接收并识别来自接收终端发射的信号。</w:t>
            </w:r>
            <w:r>
              <w:rPr>
                <w:rFonts w:hint="eastAsia" w:ascii="宋体" w:hAnsi="宋体" w:eastAsia="宋体" w:cs="宋体"/>
                <w:sz w:val="21"/>
              </w:rPr>
              <w:br/>
              <w:t xml:space="preserve">7、转换开关：应设置“关-手动-自动”转换开关。转换开关应灵活可靠、坚固耐用，并有防误动作结构。</w:t>
            </w:r>
            <w:r>
              <w:rPr>
                <w:rFonts w:hint="eastAsia" w:ascii="宋体" w:hAnsi="宋体" w:eastAsia="宋体" w:cs="宋体"/>
                <w:sz w:val="21"/>
              </w:rPr>
              <w:br/>
              <w:t xml:space="preserve">8、允许静止时间：30±2S。</w:t>
            </w:r>
            <w:r>
              <w:rPr>
                <w:rFonts w:hint="eastAsia" w:ascii="宋体" w:hAnsi="宋体" w:eastAsia="宋体" w:cs="宋体"/>
                <w:sz w:val="21"/>
              </w:rPr>
              <w:br/>
              <w:t xml:space="preserve">9、预报警时间：15±2S。</w:t>
            </w:r>
            <w:r>
              <w:rPr>
                <w:rFonts w:hint="eastAsia" w:ascii="宋体" w:hAnsi="宋体" w:eastAsia="宋体" w:cs="宋体"/>
                <w:sz w:val="21"/>
              </w:rPr>
              <w:br/>
              <w:t xml:space="preserve">10、预报警声级强度：≥100dB。</w:t>
            </w:r>
            <w:r>
              <w:rPr>
                <w:rFonts w:hint="eastAsia" w:ascii="宋体" w:hAnsi="宋体" w:eastAsia="宋体" w:cs="宋体"/>
                <w:sz w:val="21"/>
              </w:rPr>
              <w:br/>
              <w:t xml:space="preserve">11、报警声级强度：≥100dB。</w:t>
            </w:r>
            <w:r>
              <w:rPr>
                <w:rFonts w:hint="eastAsia" w:ascii="宋体" w:hAnsi="宋体" w:eastAsia="宋体" w:cs="宋体"/>
                <w:sz w:val="21"/>
              </w:rPr>
              <w:br/>
              <w:t xml:space="preserve">12、低电压告警声级强度：≥65dB。</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13、连续工作时间：</w:t>
            </w:r>
            <w:r>
              <w:rPr>
                <w:rFonts w:hint="eastAsia" w:ascii="宋体" w:hAnsi="宋体" w:eastAsia="宋体" w:cs="宋体"/>
                <w:sz w:val="21"/>
              </w:rPr>
              <w:br/>
              <w:t xml:space="preserve">①连续开机时间：≥24h。</w:t>
            </w:r>
            <w:r>
              <w:rPr>
                <w:rFonts w:hint="eastAsia" w:ascii="宋体" w:hAnsi="宋体" w:eastAsia="宋体" w:cs="宋体"/>
                <w:sz w:val="21"/>
              </w:rPr>
              <w:br/>
              <w:t xml:space="preserve">②连续报警时间：≥900min。</w:t>
            </w:r>
            <w:r>
              <w:rPr>
                <w:rFonts w:hint="eastAsia" w:ascii="宋体" w:hAnsi="宋体" w:eastAsia="宋体" w:cs="宋体"/>
                <w:sz w:val="21"/>
              </w:rPr>
              <w:br/>
              <w:t xml:space="preserve">14、质量：≤230g。</w:t>
            </w:r>
            <w:r>
              <w:rPr>
                <w:rFonts w:hint="eastAsia" w:ascii="宋体" w:hAnsi="宋体" w:eastAsia="宋体" w:cs="宋体"/>
                <w:sz w:val="21"/>
              </w:rPr>
              <w:br/>
              <w:t xml:space="preserve">15、绝缘性能MΩ ：正常情况 ≥50，湿热试验后 ≥10。</w:t>
            </w:r>
            <w:r>
              <w:rPr>
                <w:rFonts w:hint="eastAsia" w:ascii="宋体" w:hAnsi="宋体" w:eastAsia="宋体" w:cs="宋体"/>
                <w:sz w:val="21"/>
              </w:rPr>
              <w:br/>
              <w:t xml:space="preserve">16、防水性能：呼救器置于水深为1.5m的容器内2h，应无水渗入呼救器内，呼救器应能正常工作。</w:t>
            </w:r>
            <w:r>
              <w:rPr>
                <w:rFonts w:hint="eastAsia" w:ascii="宋体" w:hAnsi="宋体" w:eastAsia="宋体" w:cs="宋体"/>
                <w:sz w:val="21"/>
              </w:rPr>
              <w:br/>
              <w:t xml:space="preserve">17、耐气候环境性能：</w:t>
            </w:r>
            <w:r>
              <w:rPr>
                <w:rFonts w:hint="eastAsia" w:ascii="宋体" w:hAnsi="宋体" w:eastAsia="宋体" w:cs="宋体"/>
                <w:sz w:val="21"/>
              </w:rPr>
              <w:br/>
              <w:t xml:space="preserve">高温试验：允许静止时间（s）30±2；预报警时间（s）15+2；预报警声级强度（dB）≥80，报警声级强度（dB）≥100。</w:t>
            </w:r>
            <w:r>
              <w:rPr>
                <w:rFonts w:hint="eastAsia" w:ascii="宋体" w:hAnsi="宋体" w:eastAsia="宋体" w:cs="宋体"/>
                <w:sz w:val="21"/>
              </w:rPr>
              <w:br/>
              <w:t xml:space="preserve">低温试验：允许静止时间（s）30±2；预报警时间（s）15±2；预报警声级强度（dB）≥80；报警声级强度（dB）≥100。</w:t>
            </w:r>
            <w:r>
              <w:rPr>
                <w:rFonts w:hint="eastAsia" w:ascii="宋体" w:hAnsi="宋体" w:eastAsia="宋体" w:cs="宋体"/>
                <w:sz w:val="21"/>
              </w:rPr>
              <w:br/>
              <w:t xml:space="preserve">交变湿热试验：允许静止时间（s）30±2；预报警时间（s）15±2；预报警声级强度（dB）≥80；报警声级强度（dB）≥100。</w:t>
            </w:r>
            <w:r>
              <w:rPr>
                <w:rFonts w:hint="eastAsia" w:ascii="宋体" w:hAnsi="宋体" w:eastAsia="宋体" w:cs="宋体"/>
                <w:sz w:val="21"/>
              </w:rPr>
              <w:br/>
              <w:t xml:space="preserve">高温贮存试验：允许静止时间（s）30±2；预报警时间（s）15±2；预报警声级强度（dB）≥80；报警声级强度（dB）≥100。</w:t>
            </w:r>
            <w:r>
              <w:rPr>
                <w:rFonts w:hint="eastAsia" w:ascii="宋体" w:hAnsi="宋体" w:eastAsia="宋体" w:cs="宋体"/>
                <w:sz w:val="21"/>
              </w:rPr>
              <w:br/>
              <w:t xml:space="preserve">低温贮存试验允许静止时间（s）30±2；预报警时间（s）15±2；预报警声级强度（dB）≥80；报警声级强度（dB）≥100。</w:t>
            </w:r>
            <w:r>
              <w:rPr>
                <w:rFonts w:hint="eastAsia" w:ascii="宋体" w:hAnsi="宋体" w:eastAsia="宋体" w:cs="宋体"/>
                <w:sz w:val="21"/>
              </w:rPr>
              <w:br/>
              <w:t xml:space="preserve">18、耐机械环境性能：</w:t>
            </w:r>
            <w:r>
              <w:rPr>
                <w:rFonts w:hint="eastAsia" w:ascii="宋体" w:hAnsi="宋体" w:eastAsia="宋体" w:cs="宋体"/>
                <w:sz w:val="21"/>
              </w:rPr>
              <w:br/>
              <w:t xml:space="preserve">振动(正弦)试验：结构呼救器不应有机械损伤和紧固部位松动现象。允许静止时间（s）30±2；预报警时间（s）15±2；预报警声级强度（dB）≥80；报警声级强度（dB）≥100。</w:t>
            </w:r>
            <w:r>
              <w:rPr>
                <w:rFonts w:hint="eastAsia" w:ascii="宋体" w:hAnsi="宋体" w:eastAsia="宋体" w:cs="宋体"/>
                <w:sz w:val="21"/>
              </w:rPr>
              <w:br/>
              <w:t xml:space="preserve">冲击试验：结构呼救器不应有机械损伤和紧固部位松动现象。允许静止时间（s）30±2；预报警时间（s）15±2；预报警声级强度（dB）≥80；报警声级强度（dB）≥100。</w:t>
            </w:r>
            <w:r>
              <w:rPr>
                <w:rFonts w:hint="eastAsia" w:ascii="宋体" w:hAnsi="宋体" w:eastAsia="宋体" w:cs="宋体"/>
                <w:sz w:val="21"/>
              </w:rPr>
              <w:br/>
              <w:t xml:space="preserve">自由跌落试验：结构呼救器不应有机械损伤和紧固部位松动现象。允许静止时间（s）30±2；预报警时间（s）15±2；预报警声级强度（dB）≥80；报警声级强度（dB）≥100。</w:t>
            </w:r>
            <w:r>
              <w:rPr>
                <w:rFonts w:hint="eastAsia" w:ascii="宋体" w:hAnsi="宋体" w:eastAsia="宋体" w:cs="宋体"/>
                <w:sz w:val="21"/>
              </w:rPr>
              <w:br/>
              <w:t xml:space="preserve">19、发射频率工作频段或频点：通信型呼救器发射频率应符合国家无线电管理委员会指定的工作频段或频点及相关要求。频率误差：kHz发射频率不应大于±25kHz。</w:t>
            </w:r>
            <w:r>
              <w:rPr>
                <w:rFonts w:hint="eastAsia" w:ascii="宋体" w:hAnsi="宋体" w:eastAsia="宋体" w:cs="宋体"/>
                <w:sz w:val="21"/>
              </w:rPr>
              <w:br/>
              <w:t xml:space="preserve">20、频率稳定度不大于±2.5x10（-6次方）。</w:t>
            </w:r>
            <w:r>
              <w:rPr>
                <w:rFonts w:hint="eastAsia" w:ascii="宋体" w:hAnsi="宋体" w:eastAsia="宋体" w:cs="宋体"/>
                <w:sz w:val="21"/>
              </w:rPr>
              <w:br/>
              <w:t xml:space="preserve">21、接收灵敏度，μV≤0.3。（信噪比为12dB）.</w:t>
            </w:r>
            <w:r>
              <w:rPr>
                <w:rFonts w:hint="eastAsia" w:ascii="宋体" w:hAnsi="宋体" w:eastAsia="宋体" w:cs="宋体"/>
                <w:sz w:val="21"/>
              </w:rPr>
              <w:br/>
              <w:t xml:space="preserve">22、通信距离，m≥2000。</w:t>
            </w:r>
            <w:r>
              <w:rPr>
                <w:rFonts w:hint="eastAsia" w:ascii="宋体" w:hAnsi="宋体" w:eastAsia="宋体" w:cs="宋体"/>
                <w:sz w:val="21"/>
              </w:rPr>
              <w:br/>
              <w:t xml:space="preserve">23、发光亮度，cd/m2≥300。</w:t>
            </w:r>
            <w:r>
              <w:rPr>
                <w:rFonts w:hint="eastAsia" w:ascii="宋体" w:hAnsi="宋体" w:eastAsia="宋体" w:cs="宋体"/>
                <w:sz w:val="21"/>
              </w:rPr>
              <w:br/>
              <w:t xml:space="preserve">24、模拟烟雾环境方位指示性能在浓烟环境中，应可指示呼救器方位。</w:t>
            </w:r>
            <w:r>
              <w:rPr>
                <w:rFonts w:hint="eastAsia" w:ascii="宋体" w:hAnsi="宋体" w:eastAsia="宋体" w:cs="宋体"/>
                <w:sz w:val="21"/>
              </w:rPr>
              <w:br/>
              <w:t xml:space="preserve">25、产品标志产品上应标有如下内容：</w:t>
            </w:r>
            <w:r>
              <w:rPr>
                <w:rFonts w:hint="eastAsia" w:ascii="宋体" w:hAnsi="宋体" w:eastAsia="宋体" w:cs="宋体"/>
                <w:sz w:val="21"/>
              </w:rPr>
              <w:br/>
              <w:t xml:space="preserve">a）产品名称、型号；b）生产厂名；C）生产日期；d）防爆标志；e）执行标准代号。</w:t>
            </w:r>
            <w:r>
              <w:rPr>
                <w:rFonts w:hint="eastAsia" w:ascii="宋体" w:hAnsi="宋体" w:eastAsia="宋体" w:cs="宋体"/>
                <w:sz w:val="21"/>
              </w:rPr>
              <w:br/>
            </w:r>
            <w:r>
              <w:rPr>
                <w:rFonts w:hint="eastAsia" w:ascii="宋体" w:hAnsi="宋体" w:eastAsia="宋体" w:cs="宋体"/>
                <w:sz w:val="21"/>
              </w:rPr>
              <w:t xml:space="preserve">26、显示屏：≥1.54寸LCM液晶显示屏，实时显示工作时间、电池电量、环境温度等信息。</w:t>
            </w:r>
            <w:r>
              <w:rPr>
                <w:rFonts w:hint="eastAsia" w:ascii="宋体" w:hAnsi="宋体" w:eastAsia="宋体" w:cs="宋体"/>
                <w:sz w:val="21"/>
              </w:rPr>
              <w:br/>
              <w:t xml:space="preserve">27、外壳需采用防静电橡胶包胶工艺，具有较强的抗冲击、阻燃、耐高温性能及可靠的防水、防尘功能，跌落抗摔性能要求。</w:t>
            </w:r>
            <w:r>
              <w:rPr>
                <w:rFonts w:hint="eastAsia" w:ascii="宋体" w:hAnsi="宋体" w:eastAsia="宋体" w:cs="宋体"/>
                <w:sz w:val="21"/>
              </w:rPr>
              <w:br/>
              <w:t xml:space="preserve">28、使用带有姓名的钥匙开、关机，开机后姓名钥匙保存于后场，可代替现场身份登记。</w:t>
            </w:r>
            <w:r>
              <w:rPr>
                <w:rFonts w:hint="eastAsia" w:ascii="宋体" w:hAnsi="宋体" w:eastAsia="宋体" w:cs="宋体"/>
                <w:sz w:val="21"/>
              </w:rPr>
              <w:br/>
              <w:t xml:space="preserve">29、个人信息黑匣子功能，所有报警事件均被记录，可供事后分析。</w:t>
            </w:r>
            <w:r>
              <w:rPr>
                <w:rFonts w:hint="eastAsia" w:ascii="宋体" w:hAnsi="宋体" w:eastAsia="宋体" w:cs="宋体"/>
                <w:sz w:val="21"/>
              </w:rPr>
              <w:br/>
              <w:t xml:space="preserve">30、具备计时提醒功能。</w:t>
            </w:r>
            <w:r>
              <w:rPr>
                <w:rFonts w:hint="eastAsia" w:ascii="宋体" w:hAnsi="宋体" w:eastAsia="宋体" w:cs="宋体"/>
                <w:sz w:val="21"/>
              </w:rPr>
              <w:br/>
              <w:t xml:space="preserve">31、实时显示环境温度，温度高于设定阈值（默认能50℃）自动报警。</w:t>
            </w:r>
            <w:r>
              <w:rPr>
                <w:rFonts w:hint="eastAsia" w:ascii="宋体" w:hAnsi="宋体" w:eastAsia="宋体" w:cs="宋体"/>
                <w:sz w:val="21"/>
              </w:rPr>
              <w:br/>
              <w:t xml:space="preserve">32、具有联动报警响应功能，其中一具呼救器发出求救报警，同组呼救器可自动接收求救报警信号并发出搜救提示。</w:t>
            </w:r>
            <w:r>
              <w:rPr>
                <w:rFonts w:hint="eastAsia" w:ascii="宋体" w:hAnsi="宋体" w:eastAsia="宋体" w:cs="宋体"/>
                <w:sz w:val="21"/>
              </w:rPr>
              <w:br/>
              <w:t xml:space="preserve">33、具有相对定位搜救功能，可根据同组报警呼救器的信号强度判断搜救方向以及与被搜救者的楼层高度信息，定位精度＜2.5m。</w:t>
            </w:r>
            <w:r>
              <w:rPr>
                <w:rFonts w:hint="eastAsia" w:ascii="宋体" w:hAnsi="宋体" w:eastAsia="宋体" w:cs="宋体"/>
                <w:sz w:val="21"/>
              </w:rPr>
              <w:br/>
              <w:t xml:space="preserve">34、内置GPS/北斗定位功能，可将数据传至所属消防单位控制中心，同时支持呼救器场外指挥控制管理。</w:t>
            </w:r>
            <w:r>
              <w:rPr>
                <w:rFonts w:hint="eastAsia" w:ascii="宋体" w:hAnsi="宋体" w:eastAsia="宋体" w:cs="宋体"/>
                <w:sz w:val="21"/>
              </w:rPr>
              <w:br/>
              <w:t xml:space="preserve">35、相对湿度：＜96%RH（＋25℃时）。</w:t>
            </w:r>
            <w:r>
              <w:rPr>
                <w:rFonts w:hint="eastAsia" w:ascii="宋体" w:hAnsi="宋体" w:eastAsia="宋体" w:cs="宋体"/>
                <w:sz w:val="21"/>
              </w:rPr>
              <w:br/>
              <w:t xml:space="preserve">36、防爆标志：ExibⅡCT4Gb，提供防爆证书复印件。</w:t>
            </w:r>
            <w:r>
              <w:rPr>
                <w:rFonts w:hint="eastAsia" w:ascii="宋体" w:hAnsi="宋体" w:eastAsia="宋体" w:cs="宋体"/>
                <w:sz w:val="21"/>
              </w:rPr>
              <w:br/>
              <w:t xml:space="preserve">37、防护等级：≥IP68。</w:t>
            </w:r>
            <w:r>
              <w:rPr>
                <w:rFonts w:hint="eastAsia" w:ascii="宋体" w:hAnsi="宋体" w:eastAsia="宋体" w:cs="宋体"/>
                <w:sz w:val="21"/>
              </w:rPr>
              <w:br/>
              <w:t xml:space="preserve">38、需提供国家认可的第三方检测检验机构出具的检测检验报告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头骨振动式通信装置</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15</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套</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1、采用全骨传导技术，嘈杂环境下能保证消防员正常清晰通讯。开放佩戴者双耳，增加对周围环境感知。</w:t>
            </w:r>
            <w:r>
              <w:rPr>
                <w:rFonts w:hint="eastAsia" w:ascii="宋体" w:hAnsi="宋体" w:eastAsia="宋体" w:cs="宋体"/>
                <w:sz w:val="21"/>
              </w:rPr>
              <w:br/>
              <w:t xml:space="preserve">2、耳机部分才用双耳式全骨传导降噪耳机，可配合面罩、头盔等消防装备使用，不会破坏和损坏原有空呼面罩、头盔原有的的结构与功能，佩戴简单方便。</w:t>
            </w:r>
            <w:r>
              <w:rPr>
                <w:rFonts w:hint="eastAsia" w:ascii="宋体" w:hAnsi="宋体" w:eastAsia="宋体" w:cs="宋体"/>
                <w:sz w:val="21"/>
              </w:rPr>
              <w:br/>
              <w:t xml:space="preserve">3、整机设计合理，整机重量≤350g，耳机部分重量≤90g。</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4、防尘、防水、防爆，防护等级 IP68，防爆等级：≥ExiaIICT5 Ga。能够适用于各种易燃易爆等危险环境下的对讲通讯；</w:t>
            </w:r>
            <w:r>
              <w:rPr>
                <w:rFonts w:hint="eastAsia" w:ascii="宋体" w:hAnsi="宋体" w:eastAsia="宋体" w:cs="宋体"/>
                <w:sz w:val="21"/>
              </w:rPr>
              <w:br/>
              <w:t xml:space="preserve">5、全骨传导降噪耳机与 PTT 套件采用防水型快速连接插头，可以快速切换骨传导耳机或防爆手持台的肩咪通讯功能。不佩戴耳机时， PTT 套件可单独当肩咪使用，具有内置麦克风与内置喇叭；插上骨导耳机即为 PTT 控制按钮。</w:t>
            </w:r>
            <w:r>
              <w:rPr>
                <w:rFonts w:hint="eastAsia" w:ascii="宋体" w:hAnsi="宋体" w:eastAsia="宋体" w:cs="宋体"/>
                <w:sz w:val="21"/>
              </w:rPr>
              <w:br/>
              <w:t xml:space="preserve">6、 PTT 套件具有两个 PTT 开关：侧面小 PTT 按钮，正面喇叭处大</w:t>
            </w:r>
            <w:r>
              <w:rPr>
                <w:rFonts w:hint="eastAsia" w:ascii="宋体" w:hAnsi="宋体" w:eastAsia="宋体" w:cs="宋体"/>
                <w:sz w:val="21"/>
              </w:rPr>
              <w:br/>
              <w:t xml:space="preserve">PTT 按钮，即使佩戴消防手套轻松触发。</w:t>
            </w:r>
            <w:r>
              <w:rPr>
                <w:rFonts w:hint="eastAsia" w:ascii="宋体" w:hAnsi="宋体" w:eastAsia="宋体" w:cs="宋体"/>
                <w:sz w:val="21"/>
              </w:rPr>
              <w:br/>
              <w:t xml:space="preserve">7、骨导耳机性能参数：</w:t>
            </w:r>
            <w:r>
              <w:rPr>
                <w:rFonts w:hint="eastAsia" w:ascii="宋体" w:hAnsi="宋体" w:eastAsia="宋体" w:cs="宋体"/>
                <w:sz w:val="21"/>
              </w:rPr>
              <w:br/>
              <w:t xml:space="preserve">送话灵敏度：-20dB±5dB。</w:t>
            </w:r>
            <w:r>
              <w:rPr>
                <w:rFonts w:hint="eastAsia" w:ascii="宋体" w:hAnsi="宋体" w:eastAsia="宋体" w:cs="宋体"/>
                <w:sz w:val="21"/>
              </w:rPr>
              <w:br/>
              <w:t xml:space="preserve">送话输入阻抗：送话输入阻抗 1KΩ±0.1KΩ。</w:t>
            </w:r>
            <w:r>
              <w:rPr>
                <w:rFonts w:hint="eastAsia" w:ascii="宋体" w:hAnsi="宋体" w:eastAsia="宋体" w:cs="宋体"/>
                <w:sz w:val="21"/>
              </w:rPr>
              <w:br/>
              <w:t xml:space="preserve">送话总谐波失真：送话器的谐波失真系数г应不大于 5％。受话输入阻抗：受话器输入阻抗不小于 8Ω。</w:t>
            </w:r>
            <w:r>
              <w:rPr>
                <w:rFonts w:hint="eastAsia" w:ascii="宋体" w:hAnsi="宋体" w:eastAsia="宋体" w:cs="宋体"/>
                <w:sz w:val="21"/>
              </w:rPr>
              <w:br/>
              <w:t xml:space="preserve">受话灵敏度：受话灵敏度应满足 107dB±3dB。</w:t>
            </w:r>
            <w:r>
              <w:rPr>
                <w:rFonts w:hint="eastAsia" w:ascii="宋体" w:hAnsi="宋体" w:eastAsia="宋体" w:cs="宋体"/>
                <w:sz w:val="21"/>
              </w:rPr>
              <w:br/>
              <w:t xml:space="preserve">送受话语音清晰度：骨传导降噪耳机在 95dB 噪声环境下可辨识通话，通话应清晰可辩。</w:t>
            </w:r>
            <w:r>
              <w:rPr>
                <w:rFonts w:hint="eastAsia" w:ascii="宋体" w:hAnsi="宋体" w:eastAsia="宋体" w:cs="宋体"/>
                <w:sz w:val="21"/>
              </w:rPr>
              <w:br/>
              <w:t xml:space="preserve">噪音抗扰等级：骨传导降噪耳机抗扰等级应不小于 95 dB。频率响应：送受话频率响应 100～10000HZ。</w:t>
            </w:r>
            <w:r>
              <w:rPr>
                <w:rFonts w:hint="eastAsia" w:ascii="宋体" w:hAnsi="宋体" w:eastAsia="宋体" w:cs="宋体"/>
                <w:sz w:val="21"/>
              </w:rPr>
              <w:br/>
              <w:t xml:space="preserve">信噪比：送受话信噪比≥60dB。</w:t>
            </w:r>
            <w:r>
              <w:rPr>
                <w:rFonts w:hint="eastAsia" w:ascii="宋体" w:hAnsi="宋体" w:eastAsia="宋体" w:cs="宋体"/>
                <w:sz w:val="21"/>
              </w:rPr>
              <w:br/>
              <w:t xml:space="preserve">8、按键寿命≥30 万次，各个组件的连接处的连接拉力应不小于 100N（10Kg），电磁抗扰度满足 GB16838-2005 标准中Ⅲ级要求。</w:t>
            </w:r>
            <w:r>
              <w:rPr>
                <w:rFonts w:hint="eastAsia" w:ascii="宋体" w:hAnsi="宋体" w:eastAsia="宋体" w:cs="宋体"/>
                <w:sz w:val="21"/>
              </w:rPr>
              <w:br/>
              <w:t xml:space="preserve">9、整机应具备耐高低温、耐盐雾、抗震抗跌落等性能，绝缘性能应满足标准条件下≥50MΩ，静电放电抗扰度满足 GB16838-2005 标准</w:t>
            </w:r>
            <w:r>
              <w:rPr>
                <w:rFonts w:hint="eastAsia" w:ascii="宋体" w:hAnsi="宋体" w:eastAsia="宋体" w:cs="宋体"/>
                <w:sz w:val="21"/>
              </w:rPr>
              <w:t xml:space="preserve">中Ⅱ级要求。</w:t>
            </w:r>
            <w:r>
              <w:rPr>
                <w:rFonts w:hint="eastAsia" w:ascii="宋体" w:hAnsi="宋体" w:eastAsia="宋体" w:cs="宋体"/>
                <w:sz w:val="21"/>
              </w:rPr>
              <w:br/>
              <w:t xml:space="preserve">10、提供防爆认证证书，防爆等级≥ExiaIICT5 Ga。</w:t>
            </w:r>
            <w:r>
              <w:rPr>
                <w:rFonts w:hint="eastAsia" w:ascii="宋体" w:hAnsi="宋体" w:eastAsia="宋体" w:cs="宋体"/>
                <w:sz w:val="21"/>
              </w:rPr>
              <w:br/>
              <w:t xml:space="preserve">11、需提供国家认可的第三方检测检验机构出具的检测检验报告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佩戴式防爆照明灯</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40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1、额定电压：≥DC3.7V</w:t>
            </w:r>
            <w:r>
              <w:rPr>
                <w:rFonts w:hint="eastAsia" w:ascii="宋体" w:hAnsi="宋体" w:eastAsia="宋体" w:cs="宋体"/>
                <w:sz w:val="21"/>
              </w:rPr>
              <w:br/>
              <w:t xml:space="preserve">2、额定容量：≥1.8Ah</w:t>
            </w:r>
            <w:r>
              <w:rPr>
                <w:rFonts w:hint="eastAsia" w:ascii="宋体" w:hAnsi="宋体" w:eastAsia="宋体" w:cs="宋体"/>
                <w:sz w:val="21"/>
              </w:rPr>
              <w:br/>
              <w:t xml:space="preserve">3、光源功率：3W</w:t>
            </w:r>
            <w:r>
              <w:rPr>
                <w:rFonts w:hint="eastAsia" w:ascii="宋体" w:hAnsi="宋体" w:eastAsia="宋体" w:cs="宋体"/>
                <w:sz w:val="21"/>
              </w:rPr>
              <w:br/>
              <w:t xml:space="preserve">4、连续放电时间：强光≥4h. 工作光≥8h</w:t>
            </w:r>
            <w:r>
              <w:rPr>
                <w:rFonts w:hint="eastAsia" w:ascii="宋体" w:hAnsi="宋体" w:eastAsia="宋体" w:cs="宋体"/>
                <w:sz w:val="21"/>
              </w:rPr>
              <w:br/>
              <w:t xml:space="preserve">5、充电时间：≤5h</w:t>
            </w:r>
            <w:r>
              <w:rPr>
                <w:rFonts w:hint="eastAsia" w:ascii="宋体" w:hAnsi="宋体" w:eastAsia="宋体" w:cs="宋体"/>
                <w:sz w:val="21"/>
              </w:rPr>
              <w:br/>
              <w:t xml:space="preserve">6、重量：110g(含支架)</w:t>
            </w:r>
            <w:r>
              <w:rPr>
                <w:rFonts w:hint="eastAsia" w:ascii="宋体" w:hAnsi="宋体" w:eastAsia="宋体" w:cs="宋体"/>
                <w:sz w:val="21"/>
              </w:rPr>
              <w:br/>
              <w:t xml:space="preserve">7、外形尺寸：≤φ25×120mm</w:t>
            </w:r>
            <w:r>
              <w:rPr>
                <w:rFonts w:hint="eastAsia" w:ascii="宋体" w:hAnsi="宋体" w:eastAsia="宋体" w:cs="宋体"/>
                <w:sz w:val="21"/>
              </w:rPr>
              <w:br/>
              <w:t xml:space="preserve">8、外壳防护等级：IP66/IP68</w:t>
            </w:r>
            <w:r>
              <w:rPr>
                <w:rFonts w:hint="eastAsia" w:ascii="宋体" w:hAnsi="宋体" w:eastAsia="宋体" w:cs="宋体"/>
                <w:sz w:val="21"/>
              </w:rPr>
              <w:br/>
              <w:t xml:space="preserve">9、照度：强光≥2000 lx.  弱光≥900 lx</w:t>
            </w:r>
            <w:r>
              <w:rPr>
                <w:rFonts w:hint="eastAsia" w:ascii="宋体" w:hAnsi="宋体" w:eastAsia="宋体" w:cs="宋体"/>
                <w:sz w:val="21"/>
              </w:rPr>
              <w:br/>
              <w:t xml:space="preserve">10、本质安全型防爆等级可达到Ex ib IIC T4，可满足I区、II区安全工作的要求。</w:t>
            </w:r>
            <w:r>
              <w:rPr>
                <w:rFonts w:hint="eastAsia" w:ascii="宋体" w:hAnsi="宋体" w:eastAsia="宋体" w:cs="宋体"/>
                <w:sz w:val="21"/>
              </w:rPr>
              <w:br/>
              <w:t xml:space="preserve">11、灯具防爆性能应符合GB3836.1-2010的要求，确保灯具在易燃易爆场所使用的安全性。</w:t>
            </w:r>
            <w:r>
              <w:rPr>
                <w:rFonts w:hint="eastAsia" w:ascii="宋体" w:hAnsi="宋体" w:eastAsia="宋体" w:cs="宋体"/>
                <w:sz w:val="21"/>
              </w:rPr>
              <w:br/>
              <w:t xml:space="preserve">12、灯具在水下5m环境下可正常使用1小时。</w:t>
            </w:r>
            <w:r>
              <w:rPr>
                <w:rFonts w:hint="eastAsia" w:ascii="宋体" w:hAnsi="宋体" w:eastAsia="宋体" w:cs="宋体"/>
                <w:sz w:val="21"/>
              </w:rPr>
              <w:br/>
              <w:t xml:space="preserve">13、具有优质选材铜基板设计，可大幅提升LED光源散热性能，提升光源使用寿命及光效。</w:t>
            </w:r>
            <w:r>
              <w:rPr>
                <w:rFonts w:hint="eastAsia" w:ascii="宋体" w:hAnsi="宋体" w:eastAsia="宋体" w:cs="宋体"/>
                <w:sz w:val="21"/>
              </w:rPr>
              <w:br/>
              <w:t xml:space="preserve">14、灯具尾部需有大开关设计，可满足佩戴手套进行灯具的开关操作和强弱爆闪光的切换。尾部开关同时具有信号指示作用，当灯具打开时，尾部开关为红色信号指示灯，可视距离大于需100m，可为后方人员提供警示。</w:t>
            </w:r>
            <w:r>
              <w:rPr>
                <w:rFonts w:hint="eastAsia" w:ascii="宋体" w:hAnsi="宋体" w:eastAsia="宋体" w:cs="宋体"/>
                <w:sz w:val="21"/>
              </w:rPr>
              <w:br/>
              <w:t xml:space="preserve">15、灯具电量可视化显示，可直观查看电池电量剩余工作时间及灯具工作状态（工作光、强光、爆闪）。同时显示屏设置后可以显示所属单位、人员信息。</w:t>
            </w:r>
            <w:r>
              <w:rPr>
                <w:rFonts w:hint="eastAsia" w:ascii="宋体" w:hAnsi="宋体" w:eastAsia="宋体" w:cs="宋体"/>
                <w:sz w:val="21"/>
              </w:rPr>
              <w:br/>
              <w:t xml:space="preserve">16、充电口需采用type-C 充电接口，适用所有USB输出端口进行充电，方便快捷。</w:t>
            </w:r>
            <w:r>
              <w:rPr>
                <w:rFonts w:hint="eastAsia" w:ascii="宋体" w:hAnsi="宋体" w:eastAsia="宋体" w:cs="宋体"/>
                <w:sz w:val="21"/>
              </w:rPr>
              <w:br/>
              <w:t xml:space="preserve">17、灯具充电器应采用插头与交直流转换器分离式结构，且灯具或充电器应设置冲、放电保护电路，确保灯具充电时的安全性。</w:t>
            </w:r>
            <w:r>
              <w:rPr>
                <w:rFonts w:hint="eastAsia" w:ascii="宋体" w:hAnsi="宋体" w:eastAsia="宋体" w:cs="宋体"/>
                <w:sz w:val="21"/>
              </w:rPr>
              <w:br/>
              <w:t xml:space="preserve">18、灯具需在低温-25度与高温55度下使用2小时，能正常进行开、关以及强弱光的切换，需在国家级检测报告中体现。</w:t>
            </w:r>
            <w:r>
              <w:rPr>
                <w:rFonts w:hint="eastAsia" w:ascii="宋体" w:hAnsi="宋体" w:eastAsia="宋体" w:cs="宋体"/>
                <w:sz w:val="21"/>
              </w:rPr>
              <w:br/>
              <w:t xml:space="preserve">19、可为灯具选择性配备头灯集中充电的充电箱，每箱可同时满足至少10套灯具一起插入充电，充电箱可接入市电、车载两种通电模式，简单便捷，满足各种紧急需求。</w:t>
            </w:r>
            <w:r>
              <w:rPr>
                <w:rFonts w:hint="eastAsia" w:ascii="宋体" w:hAnsi="宋体" w:eastAsia="宋体" w:cs="宋体"/>
                <w:sz w:val="21"/>
              </w:rPr>
              <w:br/>
              <w:t xml:space="preserve">20、具备8种以上不同类型（采购方选择一种）的头盔支架，以确保主流头盔的配对使用</w:t>
            </w:r>
            <w:r>
              <w:rPr>
                <w:rFonts w:hint="eastAsia" w:ascii="宋体" w:hAnsi="宋体" w:eastAsia="宋体" w:cs="宋体"/>
                <w:sz w:val="21"/>
              </w:rPr>
              <w:br/>
              <w:t xml:space="preserve">21、需提供国家认可的第三方检测检验机构出具的检测检验报告</w:t>
            </w:r>
            <w:r>
              <w:rPr>
                <w:rFonts w:hint="eastAsia" w:ascii="宋体" w:hAnsi="宋体" w:eastAsia="宋体" w:cs="宋体"/>
                <w:sz w:val="21"/>
              </w:rPr>
              <w:br/>
              <w:t xml:space="preserve">22、提供防爆合格证复印件；</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b/>
                <w:sz w:val="21"/>
              </w:rPr>
            </w:pPr>
            <w:r>
              <w:rPr>
                <w:rFonts w:hint="eastAsia" w:ascii="宋体" w:hAnsi="宋体" w:eastAsia="宋体" w:cs="宋体"/>
                <w:b/>
                <w:sz w:val="21"/>
              </w:rPr>
              <w:t xml:space="preserve">※手持防爆电台</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30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1、符合《GA/T 1056-2013 警用数字集群（PDT）通信系统总体技术规范》；</w:t>
            </w:r>
            <w:r/>
          </w:p>
          <w:p>
            <w:pPr>
              <w:jc w:val="left"/>
              <w:widowControl/>
              <w:rPr>
                <w:rFonts w:ascii="宋体" w:hAnsi="宋体" w:eastAsia="宋体" w:cs="宋体"/>
                <w:sz w:val="21"/>
              </w:rPr>
            </w:pPr>
            <w:r>
              <w:rPr>
                <w:rFonts w:hint="eastAsia" w:ascii="宋体" w:hAnsi="宋体" w:eastAsia="宋体" w:cs="宋体"/>
                <w:sz w:val="21"/>
              </w:rPr>
              <w:t xml:space="preserve">2、PDT集群功能：具有组呼临时存储、扫描组、动态勤务数据管理、移动终端信息查询功能。</w:t>
            </w:r>
            <w:r/>
          </w:p>
          <w:p>
            <w:pPr>
              <w:jc w:val="left"/>
              <w:widowControl/>
              <w:rPr>
                <w:rFonts w:ascii="宋体" w:hAnsi="宋体" w:eastAsia="宋体" w:cs="宋体"/>
                <w:sz w:val="21"/>
              </w:rPr>
            </w:pPr>
            <w:r>
              <w:rPr>
                <w:rFonts w:hint="eastAsia" w:ascii="宋体" w:hAnsi="宋体" w:eastAsia="宋体" w:cs="宋体"/>
                <w:sz w:val="21"/>
              </w:rPr>
              <w:t xml:space="preserve">3、外壳防护等级≥IP68。</w:t>
            </w:r>
            <w:r/>
          </w:p>
          <w:p>
            <w:pPr>
              <w:jc w:val="left"/>
              <w:widowControl/>
              <w:rPr>
                <w:rFonts w:ascii="宋体" w:hAnsi="宋体" w:eastAsia="宋体" w:cs="宋体"/>
                <w:sz w:val="21"/>
              </w:rPr>
            </w:pPr>
            <w:r>
              <w:rPr>
                <w:rFonts w:hint="eastAsia" w:ascii="宋体" w:hAnsi="宋体" w:eastAsia="宋体" w:cs="宋体"/>
                <w:sz w:val="21"/>
              </w:rPr>
              <w:t xml:space="preserve">4、防爆标志：≥Ex ib ⅡB T4 Gb/Ex ibD 21 T130℃</w:t>
            </w:r>
            <w:r/>
          </w:p>
          <w:p>
            <w:pPr>
              <w:jc w:val="left"/>
              <w:widowControl/>
              <w:rPr>
                <w:rFonts w:ascii="宋体" w:hAnsi="宋体" w:eastAsia="宋体" w:cs="宋体"/>
                <w:sz w:val="21"/>
              </w:rPr>
            </w:pPr>
            <w:r>
              <w:rPr>
                <w:rFonts w:hint="eastAsia" w:ascii="宋体" w:hAnsi="宋体" w:eastAsia="宋体" w:cs="宋体"/>
                <w:sz w:val="21"/>
              </w:rPr>
              <w:t xml:space="preserve">5、外壳防护等级≥IP68</w:t>
            </w:r>
            <w:r/>
          </w:p>
          <w:p>
            <w:pPr>
              <w:jc w:val="left"/>
              <w:widowControl/>
              <w:rPr>
                <w:rFonts w:ascii="宋体" w:hAnsi="宋体" w:eastAsia="宋体" w:cs="宋体"/>
                <w:sz w:val="21"/>
              </w:rPr>
            </w:pPr>
            <w:r>
              <w:rPr>
                <w:rFonts w:hint="eastAsia" w:ascii="宋体" w:hAnsi="宋体" w:eastAsia="宋体" w:cs="宋体"/>
                <w:sz w:val="21"/>
              </w:rPr>
              <w:t xml:space="preserve">6、数字灵敏度≤-122dbm（数字）</w:t>
            </w:r>
            <w:r/>
          </w:p>
          <w:p>
            <w:pPr>
              <w:jc w:val="left"/>
              <w:widowControl/>
              <w:rPr>
                <w:rFonts w:ascii="宋体" w:hAnsi="宋体" w:eastAsia="宋体" w:cs="宋体"/>
                <w:sz w:val="21"/>
              </w:rPr>
            </w:pPr>
            <w:r>
              <w:rPr>
                <w:rFonts w:hint="eastAsia" w:ascii="宋体" w:hAnsi="宋体" w:eastAsia="宋体" w:cs="宋体"/>
                <w:sz w:val="21"/>
              </w:rPr>
              <w:t xml:space="preserve">7、支持不少于PDT数字常规、PDT数字集群、DMR数字常规、DMR数字集群、模拟常规等工作模式。</w:t>
            </w:r>
            <w:r/>
          </w:p>
          <w:p>
            <w:pPr>
              <w:jc w:val="left"/>
              <w:widowControl/>
              <w:rPr>
                <w:rFonts w:ascii="宋体" w:hAnsi="宋体" w:eastAsia="宋体" w:cs="宋体"/>
                <w:sz w:val="21"/>
              </w:rPr>
            </w:pPr>
            <w:r>
              <w:rPr>
                <w:rFonts w:hint="eastAsia" w:ascii="宋体" w:hAnsi="宋体" w:eastAsia="宋体" w:cs="宋体"/>
                <w:sz w:val="21"/>
              </w:rPr>
              <w:t xml:space="preserve">8、频率范围 350-400MHz</w:t>
            </w:r>
            <w:r/>
          </w:p>
          <w:p>
            <w:pPr>
              <w:jc w:val="left"/>
              <w:widowControl/>
              <w:rPr>
                <w:rFonts w:ascii="宋体" w:hAnsi="宋体" w:eastAsia="宋体" w:cs="宋体"/>
                <w:sz w:val="21"/>
              </w:rPr>
            </w:pPr>
            <w:r>
              <w:rPr>
                <w:rFonts w:hint="eastAsia" w:ascii="宋体" w:hAnsi="宋体" w:eastAsia="宋体" w:cs="宋体"/>
                <w:sz w:val="21"/>
              </w:rPr>
              <w:t xml:space="preserve">9</w:t>
            </w:r>
            <w:r>
              <w:rPr>
                <w:rFonts w:hint="eastAsia" w:ascii="宋体" w:hAnsi="宋体" w:eastAsia="宋体" w:cs="宋体"/>
                <w:sz w:val="21"/>
              </w:rPr>
              <w:t xml:space="preserve">、</w:t>
            </w:r>
            <w:r>
              <w:rPr>
                <w:rFonts w:hint="eastAsia" w:ascii="宋体" w:hAnsi="宋体" w:eastAsia="宋体" w:cs="宋体"/>
                <w:sz w:val="21"/>
              </w:rPr>
              <w:t xml:space="preserve">组群：≥32</w:t>
            </w:r>
            <w:r>
              <w:rPr>
                <w:rFonts w:hint="eastAsia" w:ascii="宋体" w:hAnsi="宋体" w:eastAsia="宋体" w:cs="宋体"/>
                <w:sz w:val="21"/>
              </w:rPr>
              <w:t xml:space="preserve">；</w:t>
            </w:r>
            <w:r/>
          </w:p>
          <w:p>
            <w:pPr>
              <w:jc w:val="left"/>
              <w:widowControl/>
              <w:rPr>
                <w:rFonts w:ascii="宋体" w:hAnsi="宋体" w:eastAsia="宋体" w:cs="宋体"/>
                <w:sz w:val="21"/>
              </w:rPr>
            </w:pPr>
            <w:r>
              <w:rPr>
                <w:rFonts w:hint="eastAsia" w:ascii="宋体" w:hAnsi="宋体" w:eastAsia="宋体" w:cs="宋体"/>
                <w:sz w:val="21"/>
              </w:rPr>
              <w:t xml:space="preserve">10、信道间隔 12.5 KHz/20 KHz /25 KHz </w:t>
            </w:r>
            <w:r/>
          </w:p>
          <w:p>
            <w:pPr>
              <w:jc w:val="left"/>
              <w:widowControl/>
              <w:rPr>
                <w:rFonts w:ascii="宋体" w:hAnsi="宋体" w:eastAsia="宋体" w:cs="宋体"/>
                <w:sz w:val="21"/>
              </w:rPr>
            </w:pPr>
            <w:r>
              <w:rPr>
                <w:rFonts w:hint="eastAsia" w:ascii="宋体" w:hAnsi="宋体" w:eastAsia="宋体" w:cs="宋体"/>
                <w:sz w:val="21"/>
              </w:rPr>
              <w:t xml:space="preserve">11、发射功率 1~4W可调</w:t>
            </w:r>
            <w:r/>
          </w:p>
          <w:p>
            <w:pPr>
              <w:jc w:val="left"/>
              <w:widowControl/>
              <w:rPr>
                <w:rFonts w:ascii="宋体" w:hAnsi="宋体" w:eastAsia="宋体" w:cs="宋体"/>
                <w:sz w:val="21"/>
              </w:rPr>
            </w:pPr>
            <w:r>
              <w:rPr>
                <w:rFonts w:hint="eastAsia" w:ascii="宋体" w:hAnsi="宋体" w:eastAsia="宋体" w:cs="宋体"/>
                <w:sz w:val="21"/>
              </w:rPr>
              <w:t xml:space="preserve">12、电池容量≥2200mAh(防爆专用)</w:t>
            </w:r>
            <w:r/>
          </w:p>
          <w:p>
            <w:pPr>
              <w:jc w:val="left"/>
              <w:widowControl/>
              <w:rPr>
                <w:rFonts w:ascii="宋体" w:hAnsi="宋体" w:eastAsia="宋体" w:cs="宋体"/>
                <w:sz w:val="21"/>
              </w:rPr>
            </w:pPr>
            <w:r>
              <w:rPr>
                <w:rFonts w:hint="eastAsia" w:ascii="宋体" w:hAnsi="宋体" w:eastAsia="宋体" w:cs="宋体"/>
                <w:sz w:val="21"/>
              </w:rPr>
              <w:t xml:space="preserve">13、待机时间 ：模拟:＞10h 数字:＞15h </w:t>
            </w:r>
            <w:r/>
          </w:p>
          <w:p>
            <w:pPr>
              <w:jc w:val="left"/>
              <w:widowControl/>
              <w:rPr>
                <w:rFonts w:ascii="宋体" w:hAnsi="宋体" w:eastAsia="宋体" w:cs="宋体"/>
                <w:sz w:val="21"/>
              </w:rPr>
            </w:pPr>
            <w:r>
              <w:rPr>
                <w:rFonts w:hint="eastAsia" w:ascii="宋体" w:hAnsi="宋体" w:eastAsia="宋体" w:cs="宋体"/>
                <w:sz w:val="21"/>
              </w:rPr>
              <w:t xml:space="preserve">14、外观尺寸 (标配电池，不含天线)：</w:t>
            </w:r>
            <w:r>
              <w:rPr>
                <w:rFonts w:hint="eastAsia" w:ascii="宋体" w:hAnsi="宋体" w:eastAsia="宋体" w:cs="宋体"/>
                <w:sz w:val="21"/>
              </w:rPr>
              <w:t xml:space="preserve">约高</w:t>
            </w:r>
            <w:r>
              <w:rPr>
                <w:rFonts w:ascii="宋体" w:hAnsi="宋体" w:eastAsia="宋体" w:cs="宋体"/>
                <w:sz w:val="21"/>
              </w:rPr>
              <w:t xml:space="preserve">*</w:t>
            </w:r>
            <w:r>
              <w:rPr>
                <w:rFonts w:hint="eastAsia" w:ascii="宋体" w:hAnsi="宋体" w:eastAsia="宋体" w:cs="宋体"/>
                <w:sz w:val="21"/>
              </w:rPr>
              <w:t xml:space="preserve">宽</w:t>
            </w:r>
            <w:r>
              <w:rPr>
                <w:rFonts w:ascii="宋体" w:hAnsi="宋体" w:eastAsia="宋体" w:cs="宋体"/>
                <w:sz w:val="21"/>
              </w:rPr>
              <w:t xml:space="preserve">*</w:t>
            </w:r>
            <w:r>
              <w:rPr>
                <w:rFonts w:hint="eastAsia" w:ascii="宋体" w:hAnsi="宋体" w:eastAsia="宋体" w:cs="宋体"/>
                <w:sz w:val="21"/>
              </w:rPr>
              <w:t xml:space="preserve">深≤</w:t>
            </w:r>
            <w:r>
              <w:rPr>
                <w:rFonts w:ascii="宋体" w:hAnsi="宋体" w:eastAsia="宋体" w:cs="宋体"/>
                <w:sz w:val="21"/>
              </w:rPr>
              <w:t xml:space="preserve">140*60*50 mm</w:t>
            </w:r>
            <w:r>
              <w:rPr>
                <w:rFonts w:hint="eastAsia" w:ascii="宋体" w:hAnsi="宋体" w:eastAsia="宋体" w:cs="宋体"/>
                <w:sz w:val="21"/>
              </w:rPr>
              <w:t xml:space="preserve"> </w:t>
            </w:r>
            <w:r/>
          </w:p>
          <w:p>
            <w:pPr>
              <w:jc w:val="left"/>
              <w:widowControl/>
              <w:rPr>
                <w:rFonts w:ascii="宋体" w:hAnsi="宋体" w:eastAsia="宋体" w:cs="宋体"/>
                <w:sz w:val="21"/>
              </w:rPr>
            </w:pPr>
            <w:r>
              <w:rPr>
                <w:rFonts w:hint="eastAsia" w:ascii="宋体" w:hAnsi="宋体" w:eastAsia="宋体" w:cs="宋体"/>
                <w:sz w:val="21"/>
              </w:rPr>
              <w:t xml:space="preserve">15、重量 (带标配电池和天线)≤</w:t>
            </w:r>
            <w:r>
              <w:rPr>
                <w:rFonts w:ascii="宋体" w:hAnsi="宋体" w:eastAsia="宋体" w:cs="宋体"/>
                <w:sz w:val="21"/>
              </w:rPr>
              <w:t xml:space="preserve">5</w:t>
            </w:r>
            <w:r>
              <w:rPr>
                <w:rFonts w:hint="eastAsia" w:ascii="宋体" w:hAnsi="宋体" w:eastAsia="宋体" w:cs="宋体"/>
                <w:sz w:val="21"/>
              </w:rPr>
              <w:t xml:space="preserve">00克</w:t>
            </w:r>
            <w:r/>
          </w:p>
          <w:p>
            <w:pPr>
              <w:jc w:val="left"/>
              <w:widowControl/>
              <w:rPr>
                <w:rFonts w:ascii="宋体" w:hAnsi="宋体" w:eastAsia="宋体" w:cs="宋体"/>
                <w:sz w:val="21"/>
              </w:rPr>
            </w:pPr>
            <w:r>
              <w:rPr>
                <w:rFonts w:hint="eastAsia" w:ascii="宋体" w:hAnsi="宋体" w:eastAsia="宋体" w:cs="宋体"/>
                <w:sz w:val="21"/>
              </w:rPr>
              <w:t xml:space="preserve">16、频率稳定度 ±0.5ppm </w:t>
            </w:r>
            <w:r/>
          </w:p>
          <w:p>
            <w:pPr>
              <w:jc w:val="left"/>
              <w:widowControl/>
              <w:rPr>
                <w:rFonts w:ascii="宋体" w:hAnsi="宋体" w:eastAsia="宋体" w:cs="宋体"/>
                <w:sz w:val="21"/>
              </w:rPr>
            </w:pPr>
            <w:r>
              <w:rPr>
                <w:rFonts w:hint="eastAsia" w:ascii="宋体" w:hAnsi="宋体" w:eastAsia="宋体" w:cs="宋体"/>
                <w:sz w:val="21"/>
              </w:rPr>
              <w:t xml:space="preserve">17、内置蓝牙模块，支持北斗、GPS双模式，水平位置精度≤5米</w:t>
            </w:r>
            <w:r/>
          </w:p>
          <w:p>
            <w:pPr>
              <w:jc w:val="left"/>
              <w:widowControl/>
              <w:rPr>
                <w:rFonts w:ascii="宋体" w:hAnsi="宋体" w:eastAsia="宋体" w:cs="宋体"/>
                <w:sz w:val="21"/>
              </w:rPr>
            </w:pPr>
            <w:r>
              <w:rPr>
                <w:rFonts w:hint="eastAsia" w:ascii="宋体" w:hAnsi="宋体" w:eastAsia="宋体" w:cs="宋体"/>
                <w:sz w:val="21"/>
              </w:rPr>
              <w:t xml:space="preserve">18、配备一张加密卡、充电器、天线、背夹、挂绳等附件，为保证兼容性，配件须与对讲机同品牌。</w:t>
            </w:r>
            <w:r/>
          </w:p>
          <w:p>
            <w:pPr>
              <w:jc w:val="left"/>
              <w:widowControl/>
              <w:rPr>
                <w:rFonts w:ascii="宋体" w:hAnsi="宋体" w:eastAsia="宋体" w:cs="宋体"/>
                <w:sz w:val="21"/>
              </w:rPr>
            </w:pPr>
            <w:r>
              <w:rPr>
                <w:rFonts w:hint="eastAsia" w:ascii="宋体" w:hAnsi="宋体" w:eastAsia="宋体" w:cs="宋体"/>
                <w:sz w:val="21"/>
              </w:rPr>
              <w:t xml:space="preserve">19、其他PDT数字集群功能：登记、去登记，鉴权，漫游/越区切换，语音单呼、语音组呼，紧急呼叫，讲话方身份识别，电量信息，场强信息，遥毙、遥晕、复活、倒地报警。</w:t>
            </w:r>
            <w:r/>
          </w:p>
          <w:p>
            <w:pPr>
              <w:jc w:val="left"/>
              <w:widowControl/>
              <w:rPr>
                <w:rFonts w:ascii="宋体" w:hAnsi="宋体" w:eastAsia="宋体" w:cs="宋体"/>
                <w:sz w:val="21"/>
              </w:rPr>
            </w:pPr>
            <w:r>
              <w:rPr>
                <w:rFonts w:hint="eastAsia" w:ascii="宋体" w:hAnsi="宋体" w:eastAsia="宋体" w:cs="宋体"/>
                <w:sz w:val="21"/>
              </w:rPr>
              <w:t xml:space="preserve">20、支持内置NVOC和AMBE++两个声码器  </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O形安全钩</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60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1、产品符合XF494《消防用防坠落装备》标准；</w:t>
            </w:r>
            <w:r>
              <w:rPr>
                <w:rFonts w:hint="eastAsia" w:ascii="宋体" w:hAnsi="宋体" w:eastAsia="宋体" w:cs="宋体"/>
                <w:sz w:val="21"/>
              </w:rPr>
              <w:br/>
              <w:t xml:space="preserve">2、轻型O型锁扣椭圆外形可使较宽的装备如滑轮、上升器和移动止坠器位于最佳位置。</w:t>
            </w:r>
            <w:r>
              <w:rPr>
                <w:rFonts w:hint="eastAsia" w:ascii="宋体" w:hAnsi="宋体" w:eastAsia="宋体" w:cs="宋体"/>
                <w:sz w:val="21"/>
              </w:rPr>
              <w:br/>
              <w:t xml:space="preserve">3、流畅的内部设计和Keylock系统避免钩住绳索或挂片等锚点。H型轮廓有助于更好的抓力，保护标记不受磨损，减轻重量；</w:t>
            </w:r>
            <w:r>
              <w:rPr>
                <w:rFonts w:hint="eastAsia" w:ascii="宋体" w:hAnsi="宋体" w:eastAsia="宋体" w:cs="宋体"/>
                <w:sz w:val="21"/>
              </w:rPr>
              <w:br/>
              <w:t xml:space="preserve">4、可与锁扣定位杆配合使用，能使锁扣在主轴受力，减少翻转的风险，并保持与装备的连接；</w:t>
            </w:r>
            <w:r>
              <w:rPr>
                <w:rFonts w:hint="eastAsia" w:ascii="宋体" w:hAnsi="宋体" w:eastAsia="宋体" w:cs="宋体"/>
                <w:sz w:val="21"/>
              </w:rPr>
              <w:br/>
              <w:t xml:space="preserve">5、上锁系统：自动扣。</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6、7075铝合金制，重量≦75g，开口尺寸≥22mm， 纵向拉力≥25KN， 横向拉力≥8KN，开口拉力≥7KN ；</w:t>
            </w:r>
            <w:r>
              <w:rPr>
                <w:rFonts w:hint="eastAsia" w:ascii="宋体" w:hAnsi="宋体" w:eastAsia="宋体" w:cs="宋体"/>
                <w:sz w:val="21"/>
              </w:rPr>
              <w:br/>
              <w:t xml:space="preserve">7、需提供国家认可的第三方检测检验机构出具的检测检验报告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D形安全钩</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60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1、产品符合XF494《消防用防坠落装备》标准；</w:t>
            </w:r>
            <w:r>
              <w:rPr>
                <w:rFonts w:hint="eastAsia" w:ascii="宋体" w:hAnsi="宋体" w:eastAsia="宋体" w:cs="宋体"/>
                <w:sz w:val="21"/>
              </w:rPr>
              <w:br/>
              <w:t xml:space="preserve">2、D型不对称铝制锁扣,三段自动锁,D型的外形用于连接下降器或定位挽索等装备。</w:t>
            </w:r>
            <w:r>
              <w:rPr>
                <w:rFonts w:hint="eastAsia" w:ascii="宋体" w:hAnsi="宋体" w:eastAsia="宋体" w:cs="宋体"/>
                <w:sz w:val="21"/>
              </w:rPr>
              <w:br/>
              <w:t xml:space="preserve">3、无钩状锁鼻设计，避免与锚点、绳索等发生意外钩挂；H型截面，保护标记免受磨损；</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4、纵向拉力≥27kN，横向拉力≥8kN，开口拉力≥7kN，开口≥24mm，重量≤75g。</w:t>
            </w:r>
            <w:r>
              <w:rPr>
                <w:rFonts w:hint="eastAsia" w:ascii="宋体" w:hAnsi="宋体" w:eastAsia="宋体" w:cs="宋体"/>
                <w:sz w:val="21"/>
              </w:rPr>
              <w:br/>
              <w:t xml:space="preserve">5、需提供国家认可的第三方检测检验机构出具的检测检验报告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消防通用安全绳</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根</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1.整体要求</w:t>
            </w:r>
            <w:r>
              <w:rPr>
                <w:rFonts w:hint="eastAsia" w:ascii="宋体" w:hAnsi="宋体" w:eastAsia="宋体" w:cs="宋体"/>
                <w:sz w:val="21"/>
              </w:rPr>
              <w:br/>
              <w:t xml:space="preserve">1.1符合国家XF494-2004《消防用防坠落装备》标准要求；</w:t>
            </w:r>
            <w:r>
              <w:rPr>
                <w:rFonts w:hint="eastAsia" w:ascii="宋体" w:hAnsi="宋体" w:eastAsia="宋体" w:cs="宋体"/>
                <w:sz w:val="21"/>
              </w:rPr>
              <w:br/>
              <w:t xml:space="preserve">2.结构</w:t>
            </w:r>
            <w:r>
              <w:rPr>
                <w:rFonts w:hint="eastAsia" w:ascii="宋体" w:hAnsi="宋体" w:eastAsia="宋体" w:cs="宋体"/>
                <w:sz w:val="21"/>
              </w:rPr>
              <w:br/>
              <w:t xml:space="preserve">2.1安全绳整体粗细均匀、结构一致，表面无任何机械损伤，并且绳两端妥善收尾。</w:t>
            </w:r>
            <w:r>
              <w:rPr>
                <w:rFonts w:hint="eastAsia" w:ascii="宋体" w:hAnsi="宋体" w:eastAsia="宋体" w:cs="宋体"/>
                <w:sz w:val="21"/>
              </w:rPr>
              <w:br/>
              <w:t xml:space="preserve">2.2整绳由绳芯、绳皮连续组合而成，绳皮材料和绳芯材料为锦纶66高强纤维。</w:t>
            </w:r>
            <w:r>
              <w:rPr>
                <w:rFonts w:hint="eastAsia" w:ascii="宋体" w:hAnsi="宋体" w:eastAsia="宋体" w:cs="宋体"/>
                <w:sz w:val="21"/>
              </w:rPr>
              <w:br/>
              <w:t xml:space="preserve">3.技术性能：</w:t>
            </w:r>
            <w:r>
              <w:rPr>
                <w:rFonts w:hint="eastAsia" w:ascii="宋体" w:hAnsi="宋体" w:eastAsia="宋体" w:cs="宋体"/>
                <w:sz w:val="21"/>
              </w:rPr>
              <w:br/>
              <w:t xml:space="preserve">3.1直径：16±0.5mm，长度50米。</w:t>
            </w:r>
            <w:r>
              <w:rPr>
                <w:rFonts w:hint="eastAsia" w:ascii="宋体" w:hAnsi="宋体" w:eastAsia="宋体" w:cs="宋体"/>
                <w:sz w:val="21"/>
              </w:rPr>
              <w:br/>
              <w:t xml:space="preserve">3.2破断强度：≥49.5KN。</w:t>
            </w:r>
            <w:r>
              <w:rPr>
                <w:rFonts w:hint="eastAsia" w:ascii="宋体" w:hAnsi="宋体" w:eastAsia="宋体" w:cs="宋体"/>
                <w:sz w:val="21"/>
              </w:rPr>
              <w:br/>
              <w:t xml:space="preserve">3.3延伸率：当承重达到破断强度的10%时，安全绳的延伸率≤5.5%。</w:t>
            </w:r>
            <w:r>
              <w:rPr>
                <w:rFonts w:hint="eastAsia" w:ascii="宋体" w:hAnsi="宋体" w:eastAsia="宋体" w:cs="宋体"/>
                <w:sz w:val="21"/>
              </w:rPr>
              <w:br/>
              <w:t xml:space="preserve">3.4耐高温性能：经（204±5）℃ 耐高温性能试验后，未出现熔融、焦化现象。</w:t>
            </w:r>
            <w:r>
              <w:rPr>
                <w:rFonts w:hint="eastAsia" w:ascii="宋体" w:hAnsi="宋体" w:eastAsia="宋体" w:cs="宋体"/>
                <w:sz w:val="21"/>
              </w:rPr>
              <w:br/>
              <w:t xml:space="preserve">4.其他</w:t>
            </w:r>
            <w:r>
              <w:rPr>
                <w:rFonts w:hint="eastAsia" w:ascii="宋体" w:hAnsi="宋体" w:eastAsia="宋体" w:cs="宋体"/>
                <w:sz w:val="21"/>
              </w:rPr>
              <w:br/>
              <w:t xml:space="preserve">4.1在绳尾处采用热封方式标注永久性标签内容，包含产品型号、商标、生产日期及批次等。</w:t>
            </w:r>
            <w:r>
              <w:rPr>
                <w:rFonts w:hint="eastAsia" w:ascii="宋体" w:hAnsi="宋体" w:eastAsia="宋体" w:cs="宋体"/>
                <w:sz w:val="21"/>
              </w:rPr>
              <w:br/>
              <w:t xml:space="preserve">5、需提供国家认可的第三方检测检验机构出具的检测检验报告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消防坐式半身安全吊带</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8</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根</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1、总体性能符合XF494《消防用防坠落装备》标准的要求，</w:t>
            </w:r>
            <w:r>
              <w:rPr>
                <w:rFonts w:hint="eastAsia" w:ascii="宋体" w:hAnsi="宋体" w:eastAsia="宋体" w:cs="宋体"/>
                <w:sz w:val="21"/>
              </w:rPr>
              <w:br/>
              <w:t xml:space="preserve">2、Ⅱ型安全吊带，固定于腰部、大腿或臀部以下部位，可调节的宽大腿环，使安全带佩戴快速且无松脱、滑落现象，适用于紧急逃生或救援；                                                      </w:t>
            </w:r>
            <w:r>
              <w:rPr>
                <w:rFonts w:hint="eastAsia" w:ascii="宋体" w:hAnsi="宋体" w:eastAsia="宋体" w:cs="宋体"/>
                <w:sz w:val="21"/>
              </w:rPr>
              <w:br/>
              <w:t xml:space="preserve">3、安全吊带的织带和缝线由原纤维制成。承重织带，材质：1680D涤纶丝，宽度：45±1mm，厚度1.8±0.2mm。织带为一整根，无接缝，边缘无松脱、割口或磨损。能调节尺寸大小，吊带的织带边缘通过热封措施来防止织线松脱。经204℃±5℃的耐高温性能试验后，安全带的织带和缝线不会出现融熔、焦化现象；</w:t>
            </w:r>
            <w:r>
              <w:rPr>
                <w:rFonts w:hint="eastAsia" w:ascii="宋体" w:hAnsi="宋体" w:eastAsia="宋体" w:cs="宋体"/>
                <w:sz w:val="21"/>
              </w:rPr>
              <w:br/>
              <w:t xml:space="preserve">4、缝合接口及缝合末端回缝30mm；安全吊带的缝线与织带相匹配，用肉眼易于检查。线路、针迹顺直、整齐，无明显弯曲或堆砌，无跳针、开线、断线； </w:t>
            </w:r>
            <w:r>
              <w:rPr>
                <w:rFonts w:hint="eastAsia" w:ascii="宋体" w:hAnsi="宋体" w:eastAsia="宋体" w:cs="宋体"/>
                <w:sz w:val="21"/>
              </w:rPr>
              <w:br/>
              <w:t xml:space="preserve">5、安全吊带共3个7075铝合金材质的金属拉环，厚度9.35±0.5mm，拉环为一体冲压式成型结构，无焊接，更加安全。腰部前方、左、右各1个拉环，两侧具有工具挂环，承重大于5kg；</w:t>
            </w:r>
            <w:r>
              <w:rPr>
                <w:rFonts w:hint="eastAsia" w:ascii="宋体" w:hAnsi="宋体" w:eastAsia="宋体" w:cs="宋体"/>
                <w:sz w:val="21"/>
              </w:rPr>
              <w:br/>
              <w:t xml:space="preserve">6、安全带的带扣的边角半径为6mm。带扣使安全带长度调节方便、佩戴快速且无松脱、滑落现象；</w:t>
            </w:r>
            <w:r>
              <w:rPr>
                <w:rFonts w:hint="eastAsia" w:ascii="宋体" w:hAnsi="宋体" w:eastAsia="宋体" w:cs="宋体"/>
                <w:sz w:val="21"/>
              </w:rPr>
              <w:br/>
              <w:t xml:space="preserve">7、金属部件无棱角、毛刺，无裂纹、无明显压痕和划伤等缺陷，其边缘呈弧形。零部件安装端正，整带平直、整洁，没有污油渍、缺损及其他外观缺陷。金属零件的耐腐蚀性能盐雾试验后，外观符合GB/T6461-2002 外观等级评定轻微级的要求；</w:t>
            </w:r>
            <w:r>
              <w:rPr>
                <w:rFonts w:hint="eastAsia" w:ascii="宋体" w:hAnsi="宋体" w:eastAsia="宋体" w:cs="宋体"/>
                <w:sz w:val="21"/>
              </w:rPr>
              <w:br/>
              <w:t xml:space="preserve">8、具备扩展能力，可根据需求，配合肩带，扩展为全身式安全吊带（不可倒置型）；</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9、安全吊带设计负荷≥2.67kN，通过静负荷性能（正立方向静拉力22kN）和抗冲击性能试验，试验后，不会从人体模型上松脱，安全吊带上的带扣和调节装置滑移距离不会超过10mm，而且安全吊带不会出现影响其安全性能的明显损伤；</w:t>
            </w:r>
            <w:r>
              <w:rPr>
                <w:rFonts w:hint="eastAsia" w:ascii="宋体" w:hAnsi="宋体" w:eastAsia="宋体" w:cs="宋体"/>
                <w:sz w:val="21"/>
              </w:rPr>
              <w:br/>
              <w:t xml:space="preserve">10、重量：≤1100g。</w:t>
            </w:r>
            <w:r>
              <w:rPr>
                <w:rFonts w:hint="eastAsia" w:ascii="宋体" w:hAnsi="宋体" w:eastAsia="宋体" w:cs="宋体"/>
                <w:sz w:val="21"/>
              </w:rPr>
              <w:br/>
              <w:t xml:space="preserve">11、需提供国家认可的第三方检测检验机构出具的检测检验报告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防坠落辅助部件</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8</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套</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整套防坠落辅助部件符合XF494标准，配置包括手套1双，头盔1顶，全身安全吊带1套，静力绳100米，护绳套2只，安全钩10只，手式上升器1套，脚踏带1根，下降器1个，抓绳器1个，缓冲器1个，动力挽索2根，梅陇锁4只，连接扁带1根，换轮2个，短扁带2根，长扁带2根，地垫1块，装备整理包1只。</w:t>
            </w:r>
            <w:r>
              <w:rPr>
                <w:rFonts w:hint="eastAsia" w:ascii="宋体" w:hAnsi="宋体" w:eastAsia="宋体" w:cs="宋体"/>
                <w:sz w:val="21"/>
              </w:rPr>
              <w:br/>
              <w:t xml:space="preserve">1、手套：耐用的双层皮质，手掌采用A级牛皮制造，虎口额外加强了耐磨性，手背采用了耐磨透气的尼龙材料，手腕采用橡胶材料，配有一个加强的连接孔；</w:t>
            </w:r>
            <w:r>
              <w:rPr>
                <w:rFonts w:hint="eastAsia" w:ascii="宋体" w:hAnsi="宋体" w:eastAsia="宋体" w:cs="宋体"/>
                <w:sz w:val="21"/>
              </w:rPr>
              <w:br/>
              <w:t xml:space="preserve">2、头盔：主要用于保护佩戴者免受坠落物体的直接撞击；</w:t>
            </w:r>
            <w:r>
              <w:rPr>
                <w:rFonts w:hint="eastAsia" w:ascii="宋体" w:hAnsi="宋体" w:eastAsia="宋体" w:cs="宋体"/>
                <w:sz w:val="21"/>
              </w:rPr>
              <w:br/>
              <w:t xml:space="preserve">2.1透气孔≥</w:t>
            </w:r>
            <w:r>
              <w:rPr>
                <w:rFonts w:ascii="宋体" w:hAnsi="宋体" w:eastAsia="宋体" w:cs="宋体"/>
                <w:sz w:val="21"/>
              </w:rPr>
              <w:t xml:space="preserve">10</w:t>
            </w:r>
            <w:r>
              <w:rPr>
                <w:rFonts w:hint="eastAsia" w:ascii="宋体" w:hAnsi="宋体" w:eastAsia="宋体" w:cs="宋体"/>
                <w:sz w:val="21"/>
              </w:rPr>
              <w:t xml:space="preserve">个，提供了极佳的透气性；</w:t>
            </w:r>
            <w:r>
              <w:rPr>
                <w:rFonts w:hint="eastAsia" w:ascii="宋体" w:hAnsi="宋体" w:eastAsia="宋体" w:cs="宋体"/>
                <w:sz w:val="21"/>
              </w:rPr>
              <w:br/>
              <w:t xml:space="preserve">2.2具有防震ABS/PC外壳，内衬EPS提供了良好的佩戴舒适感，内部衬垫可以拆洗；</w:t>
            </w:r>
            <w:r>
              <w:rPr>
                <w:rFonts w:hint="eastAsia" w:ascii="宋体" w:hAnsi="宋体" w:eastAsia="宋体" w:cs="宋体"/>
                <w:sz w:val="21"/>
              </w:rPr>
              <w:br/>
              <w:t xml:space="preserve">2.3不少于四个头灯卡扣，能安装市面上任何头灯，头灯卡扣带有反光贴，提高了辨识度；</w:t>
            </w:r>
            <w:r>
              <w:rPr>
                <w:rFonts w:hint="eastAsia" w:ascii="宋体" w:hAnsi="宋体" w:eastAsia="宋体" w:cs="宋体"/>
                <w:sz w:val="21"/>
              </w:rPr>
              <w:br/>
              <w:t xml:space="preserve">2.4重量：≤410g</w:t>
            </w:r>
            <w:r>
              <w:rPr>
                <w:rFonts w:hint="eastAsia" w:ascii="宋体" w:hAnsi="宋体" w:eastAsia="宋体" w:cs="宋体"/>
                <w:sz w:val="21"/>
              </w:rPr>
              <w:br/>
              <w:t xml:space="preserve">3、全身式安全带</w:t>
            </w:r>
            <w:r>
              <w:rPr>
                <w:rFonts w:hint="eastAsia" w:ascii="宋体" w:hAnsi="宋体" w:eastAsia="宋体" w:cs="宋体"/>
                <w:sz w:val="21"/>
              </w:rPr>
              <w:br/>
              <w:t xml:space="preserve">3.1挂点≥8个，腰部腿环全可调安全带，内置胸升</w:t>
            </w:r>
            <w:r>
              <w:rPr>
                <w:rFonts w:hint="eastAsia" w:ascii="宋体" w:hAnsi="宋体" w:eastAsia="宋体" w:cs="宋体"/>
                <w:sz w:val="21"/>
              </w:rPr>
              <w:br/>
              <w:t xml:space="preserve">3.2两肩部的连接点可用于受限空间垂直提吊救援</w:t>
            </w:r>
            <w:r>
              <w:rPr>
                <w:rFonts w:hint="eastAsia" w:ascii="宋体" w:hAnsi="宋体" w:eastAsia="宋体" w:cs="宋体"/>
                <w:sz w:val="21"/>
              </w:rPr>
              <w:br/>
              <w:t xml:space="preserve">3.3腰部两侧，两个腿环，共计4个快插扣，能实现迅速穿脱安全带</w:t>
            </w:r>
            <w:r>
              <w:rPr>
                <w:rFonts w:hint="eastAsia" w:ascii="宋体" w:hAnsi="宋体" w:eastAsia="宋体" w:cs="宋体"/>
                <w:sz w:val="21"/>
              </w:rPr>
              <w:br/>
              <w:t xml:space="preserve">3.4模块化设计，肩带可完全拆除，将安全带转换为坐式安全带</w:t>
            </w:r>
            <w:r>
              <w:rPr>
                <w:rFonts w:hint="eastAsia" w:ascii="宋体" w:hAnsi="宋体" w:eastAsia="宋体" w:cs="宋体"/>
                <w:sz w:val="21"/>
              </w:rPr>
              <w:br/>
              <w:t xml:space="preserve">3.5腰带上的反光条和肩带上的反光带能增加在黑暗条件下工作的</w:t>
            </w:r>
            <w:r>
              <w:rPr>
                <w:rFonts w:hint="eastAsia" w:ascii="宋体" w:hAnsi="宋体" w:eastAsia="宋体" w:cs="宋体"/>
                <w:sz w:val="21"/>
              </w:rPr>
              <w:t xml:space="preserve">识别</w:t>
            </w:r>
            <w:r>
              <w:rPr>
                <w:rFonts w:hint="eastAsia" w:ascii="宋体" w:hAnsi="宋体" w:eastAsia="宋体" w:cs="宋体"/>
                <w:sz w:val="21"/>
              </w:rPr>
              <w:br/>
              <w:t xml:space="preserve">3.6腰带和腿环上额外的环（腰部8个腿部4个）可以挂载更多的装备</w:t>
            </w:r>
            <w:r>
              <w:rPr>
                <w:rFonts w:hint="eastAsia" w:ascii="宋体" w:hAnsi="宋体" w:eastAsia="宋体" w:cs="宋体"/>
                <w:sz w:val="21"/>
              </w:rPr>
              <w:br/>
              <w:t xml:space="preserve">3.7腹部挂点可以承受不小于24kN的拉力</w:t>
            </w:r>
            <w:r>
              <w:rPr>
                <w:rFonts w:hint="eastAsia" w:ascii="宋体" w:hAnsi="宋体" w:eastAsia="宋体" w:cs="宋体"/>
                <w:sz w:val="21"/>
              </w:rPr>
              <w:br/>
              <w:t xml:space="preserve">3.8重量：≤2550g</w:t>
            </w:r>
            <w:r>
              <w:rPr>
                <w:rFonts w:hint="eastAsia" w:ascii="宋体" w:hAnsi="宋体" w:eastAsia="宋体" w:cs="宋体"/>
                <w:sz w:val="21"/>
              </w:rPr>
              <w:br/>
              <w:t xml:space="preserve">3.9需提供国家认可的第三方检测机构出具的检验报告复印件；</w:t>
            </w:r>
            <w:r>
              <w:rPr>
                <w:rFonts w:hint="eastAsia" w:ascii="宋体" w:hAnsi="宋体" w:eastAsia="宋体" w:cs="宋体"/>
                <w:sz w:val="21"/>
              </w:rPr>
              <w:br/>
              <w:t xml:space="preserve">4、静力绳：</w:t>
            </w:r>
            <w:r>
              <w:rPr>
                <w:rFonts w:hint="eastAsia" w:ascii="宋体" w:hAnsi="宋体" w:eastAsia="宋体" w:cs="宋体"/>
                <w:sz w:val="21"/>
              </w:rPr>
              <w:br/>
              <w:t xml:space="preserve">4.1绳皮股数≥44股</w:t>
            </w:r>
            <w:r>
              <w:rPr>
                <w:rFonts w:hint="eastAsia" w:ascii="宋体" w:hAnsi="宋体" w:eastAsia="宋体" w:cs="宋体"/>
                <w:sz w:val="21"/>
              </w:rPr>
              <w:br/>
              <w:t xml:space="preserve">4.2直径：≤10.5mm</w:t>
            </w:r>
            <w:r>
              <w:rPr>
                <w:rFonts w:hint="eastAsia" w:ascii="宋体" w:hAnsi="宋体" w:eastAsia="宋体" w:cs="宋体"/>
                <w:sz w:val="21"/>
              </w:rPr>
              <w:br/>
              <w:t xml:space="preserve">4.3破断强度：≥32kN</w:t>
            </w:r>
            <w:r>
              <w:rPr>
                <w:rFonts w:hint="eastAsia" w:ascii="宋体" w:hAnsi="宋体" w:eastAsia="宋体" w:cs="宋体"/>
                <w:sz w:val="21"/>
              </w:rPr>
              <w:br/>
              <w:t xml:space="preserve">4.4每米重量：≤72g</w:t>
            </w:r>
            <w:r>
              <w:rPr>
                <w:rFonts w:hint="eastAsia" w:ascii="宋体" w:hAnsi="宋体" w:eastAsia="宋体" w:cs="宋体"/>
                <w:sz w:val="21"/>
              </w:rPr>
              <w:br/>
              <w:t xml:space="preserve">4.6长度100米</w:t>
            </w:r>
            <w:r>
              <w:rPr>
                <w:rFonts w:hint="eastAsia" w:ascii="宋体" w:hAnsi="宋体" w:eastAsia="宋体" w:cs="宋体"/>
                <w:sz w:val="21"/>
              </w:rPr>
              <w:br/>
              <w:t xml:space="preserve">4.7需提供国家认可的第三方检测机构出具的检验报告复印件；</w:t>
            </w:r>
            <w:r>
              <w:rPr>
                <w:rFonts w:hint="eastAsia" w:ascii="宋体" w:hAnsi="宋体" w:eastAsia="宋体" w:cs="宋体"/>
                <w:sz w:val="21"/>
              </w:rPr>
              <w:br/>
              <w:t xml:space="preserve">5、护绳套：材质：聚氯</w:t>
            </w:r>
            <w:r>
              <w:rPr>
                <w:rFonts w:hint="eastAsia" w:ascii="微软雅黑" w:hAnsi="微软雅黑" w:eastAsia="微软雅黑" w:cs="微软雅黑"/>
                <w:sz w:val="21"/>
              </w:rPr>
              <w:t xml:space="preserve">⼄</w:t>
            </w:r>
            <w:r>
              <w:rPr>
                <w:rFonts w:hint="eastAsia" w:ascii="宋体" w:hAnsi="宋体" w:eastAsia="宋体" w:cs="宋体"/>
                <w:sz w:val="21"/>
              </w:rPr>
              <w:t xml:space="preserve">烯(pvc)夹</w:t>
            </w:r>
            <w:r>
              <w:rPr>
                <w:rFonts w:hint="eastAsia" w:ascii="微软雅黑" w:hAnsi="微软雅黑" w:eastAsia="微软雅黑" w:cs="微软雅黑"/>
                <w:sz w:val="21"/>
              </w:rPr>
              <w:t xml:space="preserve">⽹</w:t>
            </w:r>
            <w:r>
              <w:rPr>
                <w:rFonts w:hint="eastAsia" w:ascii="宋体" w:hAnsi="宋体" w:eastAsia="宋体" w:cs="宋体"/>
                <w:sz w:val="21"/>
              </w:rPr>
              <w:t xml:space="preserve">布、涤纶、钢；</w:t>
            </w:r>
            <w:r>
              <w:rPr>
                <w:rFonts w:ascii="微软雅黑" w:hAnsi="微软雅黑" w:eastAsia="微软雅黑" w:cs="微软雅黑"/>
                <w:sz w:val="21"/>
              </w:rPr>
              <w:t xml:space="preserve">⻓</w:t>
            </w:r>
            <w:r>
              <w:rPr>
                <w:rFonts w:hint="eastAsia" w:ascii="宋体" w:hAnsi="宋体" w:eastAsia="宋体" w:cs="宋体"/>
                <w:sz w:val="21"/>
              </w:rPr>
              <w:t xml:space="preserve">度：≥70cm；</w:t>
            </w:r>
            <w:r>
              <w:rPr>
                <w:rFonts w:hint="eastAsia" w:ascii="宋体" w:hAnsi="宋体" w:eastAsia="宋体" w:cs="宋体"/>
                <w:sz w:val="21"/>
              </w:rPr>
              <w:br/>
              <w:t xml:space="preserve">6、铝合金O形双动锁：材质：铝合金；纵向拉力：≥26 kN；横向拉力：≥8 kN；开口拉力：≥7 kN；开口大小：≥21 mm；重量：≤81 g；提供国家认可的第三方检测机构出具的检验报告复印件；</w:t>
            </w:r>
            <w:r>
              <w:rPr>
                <w:rFonts w:hint="eastAsia" w:ascii="宋体" w:hAnsi="宋体" w:eastAsia="宋体" w:cs="宋体"/>
                <w:sz w:val="21"/>
              </w:rPr>
              <w:br/>
              <w:t xml:space="preserve">7、手式上升器：</w:t>
            </w:r>
            <w:r>
              <w:rPr>
                <w:rFonts w:hint="eastAsia" w:ascii="宋体" w:hAnsi="宋体" w:eastAsia="宋体" w:cs="宋体"/>
                <w:sz w:val="21"/>
              </w:rPr>
              <w:br/>
              <w:t xml:space="preserve">7.1左手和右手各一个；</w:t>
            </w:r>
            <w:r>
              <w:rPr>
                <w:rFonts w:hint="eastAsia" w:ascii="宋体" w:hAnsi="宋体" w:eastAsia="宋体" w:cs="宋体"/>
                <w:sz w:val="21"/>
              </w:rPr>
              <w:br/>
              <w:t xml:space="preserve">7.2不锈钢凸轮，提供高耐腐蚀性；</w:t>
            </w:r>
            <w:r>
              <w:rPr>
                <w:rFonts w:hint="eastAsia" w:ascii="宋体" w:hAnsi="宋体" w:eastAsia="宋体" w:cs="宋体"/>
                <w:sz w:val="21"/>
              </w:rPr>
              <w:br/>
              <w:t xml:space="preserve">7.3宽大的下连接可同时挂入两把锁扣上连接孔可扣入一把锁扣套住绳索；</w:t>
            </w:r>
            <w:r>
              <w:rPr>
                <w:rFonts w:hint="eastAsia" w:ascii="宋体" w:hAnsi="宋体" w:eastAsia="宋体" w:cs="宋体"/>
                <w:sz w:val="21"/>
              </w:rPr>
              <w:br/>
              <w:t xml:space="preserve">7.4重量：≤190g；</w:t>
            </w:r>
            <w:r>
              <w:rPr>
                <w:rFonts w:hint="eastAsia" w:ascii="宋体" w:hAnsi="宋体" w:eastAsia="宋体" w:cs="宋体"/>
                <w:sz w:val="21"/>
              </w:rPr>
              <w:br/>
              <w:t xml:space="preserve">7.5强度：≥12KN</w:t>
            </w:r>
            <w:r>
              <w:rPr>
                <w:rFonts w:hint="eastAsia" w:ascii="宋体" w:hAnsi="宋体" w:eastAsia="宋体" w:cs="宋体"/>
                <w:sz w:val="21"/>
              </w:rPr>
              <w:br/>
              <w:t xml:space="preserve">7.6材质：主体轻合金，凸轮：不锈钢，手柄：塑料</w:t>
            </w:r>
            <w:r>
              <w:rPr>
                <w:rFonts w:hint="eastAsia" w:ascii="宋体" w:hAnsi="宋体" w:eastAsia="宋体" w:cs="宋体"/>
                <w:sz w:val="21"/>
              </w:rPr>
              <w:br/>
              <w:t xml:space="preserve">7.7适应绳径：8-13mm</w:t>
            </w:r>
            <w:r>
              <w:rPr>
                <w:rFonts w:hint="eastAsia" w:ascii="宋体" w:hAnsi="宋体" w:eastAsia="宋体" w:cs="宋体"/>
                <w:sz w:val="21"/>
              </w:rPr>
              <w:br/>
              <w:t xml:space="preserve">7.8需提供国家认可的第三方检测机构出具的检验报告复印件；</w:t>
            </w:r>
            <w:r>
              <w:rPr>
                <w:rFonts w:hint="eastAsia" w:ascii="宋体" w:hAnsi="宋体" w:eastAsia="宋体" w:cs="宋体"/>
                <w:sz w:val="21"/>
              </w:rPr>
              <w:br/>
              <w:t xml:space="preserve">8、脚踏带：通过不锈钢</w:t>
            </w:r>
            <w:r>
              <w:rPr>
                <w:rFonts w:hint="eastAsia" w:ascii="微软雅黑" w:hAnsi="微软雅黑" w:eastAsia="微软雅黑" w:cs="微软雅黑"/>
                <w:sz w:val="21"/>
              </w:rPr>
              <w:t xml:space="preserve">⼆</w:t>
            </w:r>
            <w:r>
              <w:rPr>
                <w:rFonts w:hint="eastAsia" w:ascii="宋体" w:hAnsi="宋体" w:eastAsia="宋体" w:cs="宋体"/>
                <w:sz w:val="21"/>
              </w:rPr>
              <w:t xml:space="preserve">孔调节扣，可以快速调节绳索</w:t>
            </w:r>
            <w:r>
              <w:rPr>
                <w:rFonts w:ascii="微软雅黑" w:hAnsi="微软雅黑" w:eastAsia="微软雅黑" w:cs="微软雅黑"/>
                <w:sz w:val="21"/>
              </w:rPr>
              <w:t xml:space="preserve">⻓</w:t>
            </w:r>
            <w:r>
              <w:rPr>
                <w:rFonts w:hint="eastAsia" w:ascii="宋体" w:hAnsi="宋体" w:eastAsia="宋体" w:cs="宋体"/>
                <w:sz w:val="21"/>
              </w:rPr>
              <w:t xml:space="preserve">度，提</w:t>
            </w:r>
            <w:r>
              <w:rPr>
                <w:rFonts w:hint="eastAsia" w:ascii="微软雅黑" w:hAnsi="微软雅黑" w:eastAsia="微软雅黑" w:cs="微软雅黑"/>
                <w:sz w:val="21"/>
              </w:rPr>
              <w:t xml:space="preserve">⾼</w:t>
            </w:r>
            <w:r>
              <w:rPr>
                <w:rFonts w:hint="eastAsia" w:ascii="宋体" w:hAnsi="宋体" w:eastAsia="宋体" w:cs="宋体"/>
                <w:sz w:val="21"/>
              </w:rPr>
              <w:t xml:space="preserve">绳索作业的移动效率，可调节</w:t>
            </w:r>
            <w:r>
              <w:rPr>
                <w:rFonts w:ascii="微软雅黑" w:hAnsi="微软雅黑" w:eastAsia="微软雅黑" w:cs="微软雅黑"/>
                <w:sz w:val="21"/>
              </w:rPr>
              <w:t xml:space="preserve">⻓</w:t>
            </w:r>
            <w:r>
              <w:rPr>
                <w:rFonts w:hint="eastAsia" w:ascii="宋体" w:hAnsi="宋体" w:eastAsia="宋体" w:cs="宋体"/>
                <w:sz w:val="21"/>
              </w:rPr>
              <w:t xml:space="preserve">度：35-150cm；</w:t>
            </w:r>
            <w:r>
              <w:rPr>
                <w:rFonts w:hint="eastAsia" w:ascii="宋体" w:hAnsi="宋体" w:eastAsia="宋体" w:cs="宋体"/>
                <w:sz w:val="21"/>
              </w:rPr>
              <w:br/>
              <w:t xml:space="preserve">9、防恐慌下降器：</w:t>
            </w:r>
            <w:r>
              <w:rPr>
                <w:rFonts w:hint="eastAsia" w:ascii="宋体" w:hAnsi="宋体" w:eastAsia="宋体" w:cs="宋体"/>
                <w:sz w:val="21"/>
              </w:rPr>
              <w:br/>
              <w:t xml:space="preserve">9.1带有防恐慌功能</w:t>
            </w:r>
            <w:r>
              <w:rPr>
                <w:rFonts w:hint="eastAsia" w:ascii="宋体" w:hAnsi="宋体" w:eastAsia="宋体" w:cs="宋体"/>
                <w:sz w:val="21"/>
              </w:rPr>
              <w:br/>
              <w:t xml:space="preserve">9.2手柄过度用力或松开，都可以自动制停</w:t>
            </w:r>
            <w:r>
              <w:rPr>
                <w:rFonts w:hint="eastAsia" w:ascii="宋体" w:hAnsi="宋体" w:eastAsia="宋体" w:cs="宋体"/>
                <w:sz w:val="21"/>
              </w:rPr>
              <w:br/>
              <w:t xml:space="preserve">9.3承重：≥225 kg</w:t>
            </w:r>
            <w:r>
              <w:rPr>
                <w:rFonts w:hint="eastAsia" w:ascii="宋体" w:hAnsi="宋体" w:eastAsia="宋体" w:cs="宋体"/>
                <w:sz w:val="21"/>
              </w:rPr>
              <w:br/>
              <w:t xml:space="preserve">9.4强度：≥18kN</w:t>
            </w:r>
            <w:r>
              <w:rPr>
                <w:rFonts w:hint="eastAsia" w:ascii="宋体" w:hAnsi="宋体" w:eastAsia="宋体" w:cs="宋体"/>
                <w:sz w:val="21"/>
              </w:rPr>
              <w:br/>
              <w:t xml:space="preserve">9.5重量：≤365g</w:t>
            </w:r>
            <w:r>
              <w:rPr>
                <w:rFonts w:hint="eastAsia" w:ascii="宋体" w:hAnsi="宋体" w:eastAsia="宋体" w:cs="宋体"/>
                <w:sz w:val="21"/>
              </w:rPr>
              <w:br/>
              <w:t xml:space="preserve">9.6适用直径：10-12 mm</w:t>
            </w:r>
            <w:r>
              <w:rPr>
                <w:rFonts w:hint="eastAsia" w:ascii="宋体" w:hAnsi="宋体" w:eastAsia="宋体" w:cs="宋体"/>
                <w:sz w:val="21"/>
              </w:rPr>
              <w:br/>
              <w:t xml:space="preserve">9.7材料：凸轮结构：不锈钢，侧板：轻合金</w:t>
            </w:r>
            <w:r>
              <w:rPr>
                <w:rFonts w:hint="eastAsia" w:ascii="宋体" w:hAnsi="宋体" w:eastAsia="宋体" w:cs="宋体"/>
                <w:sz w:val="21"/>
              </w:rPr>
              <w:br/>
              <w:t xml:space="preserve">9.8需提供国家认可的第三方检测机构出具的检验报告复印件；</w:t>
            </w:r>
            <w:r>
              <w:rPr>
                <w:rFonts w:hint="eastAsia" w:ascii="宋体" w:hAnsi="宋体" w:eastAsia="宋体" w:cs="宋体"/>
                <w:sz w:val="21"/>
              </w:rPr>
              <w:br/>
              <w:t xml:space="preserve">10、抓绳止坠器：</w:t>
            </w:r>
            <w:r>
              <w:rPr>
                <w:rFonts w:hint="eastAsia" w:ascii="宋体" w:hAnsi="宋体" w:eastAsia="宋体" w:cs="宋体"/>
                <w:sz w:val="21"/>
              </w:rPr>
              <w:br/>
              <w:t xml:space="preserve">10.1导向性止坠器和工作定位装置</w:t>
            </w:r>
            <w:r>
              <w:rPr>
                <w:rFonts w:hint="eastAsia" w:ascii="宋体" w:hAnsi="宋体" w:eastAsia="宋体" w:cs="宋体"/>
                <w:sz w:val="21"/>
              </w:rPr>
              <w:br/>
              <w:t xml:space="preserve">10.2凸轮可以在需要的位置锁住，当受力后可以释放</w:t>
            </w:r>
            <w:r>
              <w:rPr>
                <w:rFonts w:hint="eastAsia" w:ascii="宋体" w:hAnsi="宋体" w:eastAsia="宋体" w:cs="宋体"/>
                <w:sz w:val="21"/>
              </w:rPr>
              <w:br/>
              <w:t xml:space="preserve">10.3只使用扁带连接时，扁带长度≤20cm</w:t>
            </w:r>
            <w:r>
              <w:rPr>
                <w:rFonts w:hint="eastAsia" w:ascii="宋体" w:hAnsi="宋体" w:eastAsia="宋体" w:cs="宋体"/>
                <w:sz w:val="21"/>
              </w:rPr>
              <w:br/>
              <w:t xml:space="preserve">10.4重量：≤188g</w:t>
            </w:r>
            <w:r>
              <w:rPr>
                <w:rFonts w:hint="eastAsia" w:ascii="宋体" w:hAnsi="宋体" w:eastAsia="宋体" w:cs="宋体"/>
                <w:sz w:val="21"/>
              </w:rPr>
              <w:br/>
              <w:t xml:space="preserve">10.5工作负荷：≥100kg</w:t>
            </w:r>
            <w:r>
              <w:rPr>
                <w:rFonts w:hint="eastAsia" w:ascii="宋体" w:hAnsi="宋体" w:eastAsia="宋体" w:cs="宋体"/>
                <w:sz w:val="21"/>
              </w:rPr>
              <w:br/>
              <w:t xml:space="preserve">10.6需提供国家认可的第三方检测机构出具的检验报告复印件；</w:t>
            </w:r>
            <w:r>
              <w:rPr>
                <w:rFonts w:hint="eastAsia" w:ascii="宋体" w:hAnsi="宋体" w:eastAsia="宋体" w:cs="宋体"/>
                <w:sz w:val="21"/>
              </w:rPr>
              <w:br/>
              <w:t xml:space="preserve">11、势能缓冲器：长度</w:t>
            </w:r>
            <w:r>
              <w:rPr>
                <w:rFonts w:hint="eastAsia" w:ascii="宋体" w:hAnsi="宋体" w:eastAsia="宋体" w:cs="宋体"/>
                <w:sz w:val="21"/>
              </w:rPr>
              <w:t xml:space="preserve">≤40</w:t>
            </w:r>
            <w:r>
              <w:rPr>
                <w:rFonts w:hint="eastAsia" w:ascii="宋体" w:hAnsi="宋体" w:eastAsia="宋体" w:cs="宋体"/>
                <w:sz w:val="21"/>
              </w:rPr>
              <w:t xml:space="preserve">cm，坠落打开后115-118cm，强度：≥15kN；</w:t>
            </w:r>
            <w:r>
              <w:rPr>
                <w:rFonts w:hint="eastAsia" w:ascii="宋体" w:hAnsi="宋体" w:eastAsia="宋体" w:cs="宋体"/>
                <w:sz w:val="21"/>
              </w:rPr>
              <w:br/>
              <w:t xml:space="preserve">12、动力挽索：12.1由动力绳制作而成；12.2直径：≤11mm；12.3强度：≥22kN；12.4材料：尼龙，轻合金, PVC；12.5重量：≤</w:t>
            </w:r>
            <w:r>
              <w:rPr>
                <w:rFonts w:hint="eastAsia" w:ascii="宋体" w:hAnsi="宋体" w:eastAsia="宋体" w:cs="宋体"/>
                <w:sz w:val="21"/>
              </w:rPr>
              <w:t xml:space="preserve">120g；12.6需提供国家认可的第三方检测检验机构出具的检测检验报告</w:t>
            </w:r>
            <w:r>
              <w:rPr>
                <w:rFonts w:hint="eastAsia" w:ascii="宋体" w:hAnsi="宋体" w:eastAsia="宋体" w:cs="宋体"/>
                <w:sz w:val="21"/>
              </w:rPr>
              <w:br/>
              <w:t xml:space="preserve">13、梅陇锁：直径≤8mm；材质：镀锌钢；纵向拉力≥35 kN；横向拉力：≥10kN；开口大小≥11 mm；重量≤77 g；需提供国家认可的第三方检测检验机构出具的检测检验报告</w:t>
            </w:r>
            <w:r>
              <w:rPr>
                <w:rFonts w:hint="eastAsia" w:ascii="宋体" w:hAnsi="宋体" w:eastAsia="宋体" w:cs="宋体"/>
                <w:sz w:val="21"/>
              </w:rPr>
              <w:br/>
              <w:t xml:space="preserve">14、连接带：轻量化高强度短扁带，重量≤12g，材料：聚酰胺纤维，强度≥22kN，宽度≤16mm，长度≤11cm，需提供国家认可的第三方检测检验机构出具的检测检验报告；</w:t>
            </w:r>
            <w:r>
              <w:rPr>
                <w:rFonts w:hint="eastAsia" w:ascii="宋体" w:hAnsi="宋体" w:eastAsia="宋体" w:cs="宋体"/>
                <w:sz w:val="21"/>
              </w:rPr>
              <w:br/>
              <w:t xml:space="preserve">15、滑轮：高效率大尺寸单滑轮，效率达到94%，顶部大型连接孔可容纳不少于3把锁扣，重量: ≤257g，强度:≥32 kN ，最大使用绳径:13毫米，轴承类型: 封闭滚珠轴承，需提供国家认可的第三方检测检验机构出具的检测检验报告；</w:t>
            </w:r>
            <w:r>
              <w:rPr>
                <w:rFonts w:hint="eastAsia" w:ascii="宋体" w:hAnsi="宋体" w:eastAsia="宋体" w:cs="宋体"/>
                <w:sz w:val="21"/>
              </w:rPr>
              <w:br/>
              <w:t xml:space="preserve">16、扁带80：轻量化高强度扁带环，强度：≥22kN，宽度：≤16mm，材质：尼龙，长度：≥80cm，重量：≤60g；需提供国家认可的第三方检测检验机构出具的检测检验报告；</w:t>
            </w:r>
            <w:r>
              <w:rPr>
                <w:rFonts w:hint="eastAsia" w:ascii="宋体" w:hAnsi="宋体" w:eastAsia="宋体" w:cs="宋体"/>
                <w:sz w:val="21"/>
              </w:rPr>
              <w:br/>
              <w:t xml:space="preserve">17、扁带120：轻量化高强度扁带环，强度：≥22kN，宽度：≤16mm，材质：尼龙，长度：≥120cm，重量：≤86g；需提供国家认可的第三方检测检验机构出具的检测检验报告；</w:t>
            </w:r>
            <w:r>
              <w:rPr>
                <w:rFonts w:hint="eastAsia" w:ascii="宋体" w:hAnsi="宋体" w:eastAsia="宋体" w:cs="宋体"/>
                <w:sz w:val="21"/>
              </w:rPr>
              <w:br/>
              <w:t xml:space="preserve">18、地布：100%耐</w:t>
            </w:r>
            <w:r>
              <w:rPr>
                <w:rFonts w:hint="eastAsia" w:ascii="微软雅黑" w:hAnsi="微软雅黑" w:eastAsia="微软雅黑" w:cs="微软雅黑"/>
                <w:sz w:val="21"/>
              </w:rPr>
              <w:t xml:space="preserve">⾼</w:t>
            </w:r>
            <w:r>
              <w:rPr>
                <w:rFonts w:hint="eastAsia" w:ascii="宋体" w:hAnsi="宋体" w:eastAsia="宋体" w:cs="宋体"/>
                <w:sz w:val="21"/>
              </w:rPr>
              <w:t xml:space="preserve">温棉帆；双层16安加密</w:t>
            </w:r>
            <w:r>
              <w:rPr>
                <w:rFonts w:hint="eastAsia" w:ascii="微软雅黑" w:hAnsi="微软雅黑" w:eastAsia="微软雅黑" w:cs="微软雅黑"/>
                <w:sz w:val="21"/>
              </w:rPr>
              <w:t xml:space="preserve">⾯</w:t>
            </w:r>
            <w:r>
              <w:rPr>
                <w:rFonts w:hint="eastAsia" w:ascii="宋体" w:hAnsi="宋体" w:eastAsia="宋体" w:cs="宋体"/>
                <w:sz w:val="21"/>
              </w:rPr>
              <w:t xml:space="preserve">料</w:t>
            </w:r>
            <w:r>
              <w:rPr>
                <w:rFonts w:ascii="微软雅黑" w:hAnsi="微软雅黑" w:eastAsia="微软雅黑" w:cs="微软雅黑"/>
                <w:sz w:val="21"/>
              </w:rPr>
              <w:t xml:space="preserve">⻋</w:t>
            </w:r>
            <w:r>
              <w:rPr>
                <w:rFonts w:hint="eastAsia" w:ascii="宋体" w:hAnsi="宋体" w:eastAsia="宋体" w:cs="宋体"/>
                <w:sz w:val="21"/>
              </w:rPr>
              <w:t xml:space="preserve">缝结构坚固耐磨，充份保护。6个304不锈钢17mm孔径</w:t>
            </w:r>
            <w:r>
              <w:rPr>
                <w:rFonts w:hint="eastAsia" w:ascii="微软雅黑" w:hAnsi="微软雅黑" w:eastAsia="微软雅黑" w:cs="微软雅黑"/>
                <w:sz w:val="21"/>
              </w:rPr>
              <w:t xml:space="preserve">⽓</w:t>
            </w:r>
            <w:r>
              <w:rPr>
                <w:rFonts w:hint="eastAsia" w:ascii="宋体" w:hAnsi="宋体" w:eastAsia="宋体" w:cs="宋体"/>
                <w:sz w:val="21"/>
              </w:rPr>
              <w:t xml:space="preserve">眼，可直接挂主锁固定，实现快速多个垫拼接。</w:t>
            </w:r>
            <w:r>
              <w:rPr>
                <w:rFonts w:hint="eastAsia" w:ascii="宋体" w:hAnsi="宋体" w:eastAsia="宋体" w:cs="宋体"/>
                <w:sz w:val="21"/>
              </w:rPr>
              <w:br/>
              <w:t xml:space="preserve">19、装备包：</w:t>
            </w:r>
            <w:r>
              <w:rPr>
                <w:rFonts w:hint="eastAsia" w:ascii="宋体" w:hAnsi="宋体" w:eastAsia="宋体" w:cs="宋体"/>
                <w:sz w:val="21"/>
              </w:rPr>
              <w:br/>
              <w:t xml:space="preserve">19.1顶部和背部有大开口，能轻松拿取主仓物品，采用YKK拉链；</w:t>
            </w:r>
            <w:r>
              <w:rPr>
                <w:rFonts w:hint="eastAsia" w:ascii="宋体" w:hAnsi="宋体" w:eastAsia="宋体" w:cs="宋体"/>
                <w:sz w:val="21"/>
              </w:rPr>
              <w:br/>
              <w:t xml:space="preserve">19.2人体工程学肩带和背部衬垫，有可调节胸带，背重物不容易滑落；</w:t>
            </w:r>
            <w:r>
              <w:rPr>
                <w:rFonts w:hint="eastAsia" w:ascii="宋体" w:hAnsi="宋体" w:eastAsia="宋体" w:cs="宋体"/>
                <w:sz w:val="21"/>
              </w:rPr>
              <w:br/>
              <w:t xml:space="preserve">19.3带有泡沫的底部和前部采用超级耐用的尼龙材料，保证了长时间的使用，并且能保护你的装备</w:t>
            </w:r>
            <w:r>
              <w:rPr>
                <w:rFonts w:hint="eastAsia" w:ascii="宋体" w:hAnsi="宋体" w:eastAsia="宋体" w:cs="宋体"/>
                <w:sz w:val="21"/>
              </w:rPr>
              <w:br/>
              <w:t xml:space="preserve">19.4容量：≥40L</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移动供气源</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套</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1、需提供国家认可的认证或检测机构出具认证证书或检测报告。 </w:t>
            </w:r>
            <w:r>
              <w:rPr>
                <w:rFonts w:hint="eastAsia" w:ascii="宋体" w:hAnsi="宋体" w:eastAsia="宋体" w:cs="宋体"/>
                <w:sz w:val="21"/>
              </w:rPr>
              <w:br/>
              <w:t xml:space="preserve">整套装备符合 长管呼吸器标准要求，装具的构造：推车式长管空气呼吸器由不锈钢手推小车、气瓶总成、高压胶管总成、减压阀块、报警器、长管导气管、Y 型接头、腰接阀、供气阀、全面罩组成。</w:t>
            </w:r>
            <w:r>
              <w:rPr>
                <w:rFonts w:hint="eastAsia" w:ascii="宋体" w:hAnsi="宋体" w:eastAsia="宋体" w:cs="宋体"/>
                <w:sz w:val="21"/>
              </w:rPr>
              <w:br/>
              <w:t xml:space="preserve">2、气瓶符合国家质量技术监督局国发［2000］250 号《气瓶安全监察规程》规定。气瓶为铝合金内胆碳纤维缠绕气瓶，外层涂环氧树脂。</w:t>
            </w:r>
            <w:r>
              <w:rPr>
                <w:rFonts w:hint="eastAsia" w:ascii="宋体" w:hAnsi="宋体" w:eastAsia="宋体" w:cs="宋体"/>
                <w:sz w:val="21"/>
              </w:rPr>
              <w:br/>
              <w:t xml:space="preserve">3、由 4个 6.8L 的    30MPa 高压碳纤维气瓶，双减压器输出，流量大于1000L/min，气瓶可以随意更换，在更换气瓶时不会影响正常使用。气瓶与减压装置采用软管连接，方便快捷。并配有 2 个正压式呼吸面罩及供给阀，1个 Y 型接口。</w:t>
            </w:r>
            <w:r>
              <w:rPr>
                <w:rFonts w:hint="eastAsia" w:ascii="宋体" w:hAnsi="宋体" w:eastAsia="宋体" w:cs="宋体"/>
                <w:sz w:val="21"/>
              </w:rPr>
              <w:br/>
              <w:t xml:space="preserve">4、移动小车采用可脱卸式长管卷盘，4只轮子、折叠旋转手柄适用消防车车载使用；可以有效减少所占空间，便于存放。</w:t>
            </w:r>
            <w:r>
              <w:rPr>
                <w:rFonts w:hint="eastAsia" w:ascii="宋体" w:hAnsi="宋体" w:eastAsia="宋体" w:cs="宋体"/>
                <w:sz w:val="21"/>
              </w:rPr>
              <w:br/>
              <w:t xml:space="preserve">5、两人同时使用时可接长≥40m，单人使用时可接长≥50m，气管耐磨、抗腐蚀性能好。</w:t>
            </w:r>
            <w:r>
              <w:rPr>
                <w:rFonts w:hint="eastAsia" w:ascii="宋体" w:hAnsi="宋体" w:eastAsia="宋体" w:cs="宋体"/>
                <w:sz w:val="21"/>
              </w:rPr>
              <w:br/>
              <w:t xml:space="preserve">6、动态呼吸阻力：当气瓶压力在30MPA-2MPA呼吸量40*2.5L/MIN时吸气阻力小于等于280pa,吸气阻力≤800pa,气瓶压力在2MPA-1MPA呼吸量25*2L/MIN时吸气阻力≤300pa,呼气阻力≤600pa.</w:t>
            </w:r>
            <w:r>
              <w:rPr>
                <w:rFonts w:hint="eastAsia" w:ascii="宋体" w:hAnsi="宋体" w:eastAsia="宋体" w:cs="宋体"/>
                <w:sz w:val="21"/>
              </w:rPr>
              <w:br/>
            </w:r>
            <w:r>
              <w:rPr>
                <w:rFonts w:ascii="宋体" w:hAnsi="宋体" w:eastAsia="宋体" w:cs="宋体"/>
                <w:sz w:val="21"/>
              </w:rPr>
              <w:t xml:space="preserve">7</w:t>
            </w:r>
            <w:r>
              <w:rPr>
                <w:rFonts w:hint="eastAsia" w:ascii="宋体" w:hAnsi="宋体" w:eastAsia="宋体" w:cs="宋体"/>
                <w:sz w:val="21"/>
              </w:rPr>
              <w:t xml:space="preserve">、气瓶设计、制造、检验和使用应符合国家质量技术监督局国发［2000］250 号《气瓶安全监</w:t>
            </w:r>
            <w:r>
              <w:rPr>
                <w:rFonts w:hint="eastAsia" w:ascii="宋体" w:hAnsi="宋体" w:eastAsia="宋体" w:cs="宋体"/>
                <w:sz w:val="21"/>
              </w:rPr>
              <w:br/>
              <w:t xml:space="preserve">察规程》的规定。气瓶上应有“压缩空气；气瓶编号；水压试验压力；公称工作压力；公称容积； 重量；生产日期；检验周期；使用</w:t>
            </w:r>
            <w:r>
              <w:rPr>
                <w:rFonts w:hint="eastAsia" w:ascii="宋体" w:hAnsi="宋体" w:eastAsia="宋体" w:cs="宋体"/>
                <w:sz w:val="21"/>
              </w:rPr>
              <w:t xml:space="preserve">年限；产品标准号；警示：发现纤维断裂或损坏，不应充装” 字样标记。</w:t>
            </w:r>
            <w:r>
              <w:rPr>
                <w:rFonts w:hint="eastAsia" w:ascii="宋体" w:hAnsi="宋体" w:eastAsia="宋体" w:cs="宋体"/>
                <w:sz w:val="21"/>
              </w:rPr>
              <w:br/>
            </w:r>
            <w:r>
              <w:rPr>
                <w:rFonts w:ascii="宋体" w:hAnsi="宋体" w:eastAsia="宋体" w:cs="宋体"/>
                <w:sz w:val="21"/>
              </w:rPr>
              <w:t xml:space="preserve">8</w:t>
            </w:r>
            <w:r>
              <w:rPr>
                <w:rFonts w:hint="eastAsia" w:ascii="宋体" w:hAnsi="宋体" w:eastAsia="宋体" w:cs="宋体"/>
                <w:sz w:val="21"/>
              </w:rPr>
              <w:t xml:space="preserve">、气瓶瓶阀的开启方向为逆时针。气瓶瓶阀上应设置安全膜片， 其爆破压力应为（37～45）Mpa</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手提式强光照明灯</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1、光源功率：2*12W（聚光），6W（泛光）</w:t>
            </w:r>
            <w:r>
              <w:rPr>
                <w:rFonts w:hint="eastAsia" w:ascii="宋体" w:hAnsi="宋体" w:eastAsia="宋体" w:cs="宋体"/>
                <w:sz w:val="21"/>
              </w:rPr>
              <w:br/>
              <w:t xml:space="preserve">2、额定电压≥DC22.2V</w:t>
            </w:r>
            <w:r>
              <w:rPr>
                <w:rFonts w:hint="eastAsia" w:ascii="宋体" w:hAnsi="宋体" w:eastAsia="宋体" w:cs="宋体"/>
                <w:sz w:val="21"/>
              </w:rPr>
              <w:br/>
              <w:t xml:space="preserve">3、额定容量≥2.5Ah</w:t>
            </w:r>
            <w:r>
              <w:rPr>
                <w:rFonts w:hint="eastAsia" w:ascii="宋体" w:hAnsi="宋体" w:eastAsia="宋体" w:cs="宋体"/>
                <w:sz w:val="21"/>
              </w:rPr>
              <w:br/>
              <w:t xml:space="preserve">4、聚光强光≥4h，聚光工作光≥8h，</w:t>
            </w:r>
            <w:r>
              <w:rPr>
                <w:rFonts w:hint="eastAsia" w:ascii="宋体" w:hAnsi="宋体" w:eastAsia="宋体" w:cs="宋体"/>
                <w:sz w:val="21"/>
              </w:rPr>
              <w:br/>
              <w:t xml:space="preserve">泛光单侧强光≥7h，泛光双侧强光≥3h，</w:t>
            </w:r>
            <w:r>
              <w:rPr>
                <w:rFonts w:hint="eastAsia" w:ascii="宋体" w:hAnsi="宋体" w:eastAsia="宋体" w:cs="宋体"/>
                <w:sz w:val="21"/>
              </w:rPr>
              <w:br/>
              <w:t xml:space="preserve">泛光单侧工作灯≥15h，泛光双侧工作灯≥7h</w:t>
            </w:r>
            <w:r>
              <w:rPr>
                <w:rFonts w:hint="eastAsia" w:ascii="宋体" w:hAnsi="宋体" w:eastAsia="宋体" w:cs="宋体"/>
                <w:sz w:val="21"/>
              </w:rPr>
              <w:br/>
              <w:t xml:space="preserve">5、充电时间≤3h</w:t>
            </w:r>
            <w:r>
              <w:rPr>
                <w:rFonts w:hint="eastAsia" w:ascii="宋体" w:hAnsi="宋体" w:eastAsia="宋体" w:cs="宋体"/>
                <w:sz w:val="21"/>
              </w:rPr>
              <w:br/>
              <w:t xml:space="preserve">6、重量≤1.5kg</w:t>
            </w:r>
            <w:r>
              <w:rPr>
                <w:rFonts w:hint="eastAsia" w:ascii="宋体" w:hAnsi="宋体" w:eastAsia="宋体" w:cs="宋体"/>
                <w:sz w:val="21"/>
              </w:rPr>
              <w:br/>
              <w:t xml:space="preserve">7、外形尺寸：≤φ80x200mm</w:t>
            </w:r>
            <w:r>
              <w:rPr>
                <w:rFonts w:hint="eastAsia" w:ascii="宋体" w:hAnsi="宋体" w:eastAsia="宋体" w:cs="宋体"/>
                <w:sz w:val="21"/>
              </w:rPr>
              <w:br/>
              <w:t xml:space="preserve">8、防护等级IP66/IP68，可在1.5m水深处使用1小时</w:t>
            </w:r>
            <w:r>
              <w:rPr>
                <w:rFonts w:hint="eastAsia" w:ascii="宋体" w:hAnsi="宋体" w:eastAsia="宋体" w:cs="宋体"/>
                <w:sz w:val="21"/>
              </w:rPr>
              <w:br/>
              <w:t xml:space="preserve">9、灯具需采用双光型光源配置，需同时具有暖白光源及冷白光源可通过开关控制实现冷暖色光线的转换，且外部具备本安式提手</w:t>
            </w:r>
            <w:r>
              <w:rPr>
                <w:rFonts w:hint="eastAsia" w:ascii="宋体" w:hAnsi="宋体" w:eastAsia="宋体" w:cs="宋体"/>
                <w:sz w:val="21"/>
              </w:rPr>
              <w:br/>
              <w:t xml:space="preserve">10、隔爆+本质安全防爆设计，适合在一区、二区各种易燃易爆场所使用，灯具防爆性能应符合GB3836.1-2010的要求。</w:t>
            </w:r>
            <w:r>
              <w:rPr>
                <w:rFonts w:hint="eastAsia" w:ascii="宋体" w:hAnsi="宋体" w:eastAsia="宋体" w:cs="宋体"/>
                <w:sz w:val="21"/>
              </w:rPr>
              <w:br/>
              <w:t xml:space="preserve">11、灯具充电器应采用插头与交直流转换器分离式结构，灯具或充电器应设置充放电保护电路</w:t>
            </w:r>
            <w:r>
              <w:rPr>
                <w:rFonts w:hint="eastAsia" w:ascii="宋体" w:hAnsi="宋体" w:eastAsia="宋体" w:cs="宋体"/>
                <w:sz w:val="21"/>
              </w:rPr>
              <w:br/>
              <w:t xml:space="preserve">12、灯具需具有聚光（灯头）、泛光（灯体两侧）、红蓝警示（灯体两侧）多种工作模式适用于救援作业照明</w:t>
            </w:r>
            <w:r>
              <w:rPr>
                <w:rFonts w:hint="eastAsia" w:ascii="宋体" w:hAnsi="宋体" w:eastAsia="宋体" w:cs="宋体"/>
                <w:sz w:val="21"/>
              </w:rPr>
              <w:br/>
              <w:t xml:space="preserve">12、灯具可手提、肩挎、磁力吸附三种携带方式</w:t>
            </w:r>
            <w:r>
              <w:rPr>
                <w:rFonts w:hint="eastAsia" w:ascii="宋体" w:hAnsi="宋体" w:eastAsia="宋体" w:cs="宋体"/>
                <w:sz w:val="21"/>
              </w:rPr>
              <w:br/>
              <w:t xml:space="preserve">13、灯具具有4段式LED电量显示装置，能清晰呈现使用剩余电量，且尾部设计有高穿透性、高可视性方位灯，能在作业现场清晰显示持灯人员位置（需提供样品测试）</w:t>
            </w:r>
            <w:r>
              <w:rPr>
                <w:rFonts w:hint="eastAsia" w:ascii="宋体" w:hAnsi="宋体" w:eastAsia="宋体" w:cs="宋体"/>
                <w:sz w:val="21"/>
              </w:rPr>
              <w:br/>
              <w:t xml:space="preserve">14、灯具需采用快充设计，整体充电时间不大于3h。需具有有多段式LED电量显示装置。灯具需具备低电压警示功能，</w:t>
            </w:r>
            <w:r>
              <w:rPr>
                <w:rFonts w:hint="eastAsia" w:ascii="宋体" w:hAnsi="宋体" w:eastAsia="宋体" w:cs="宋体"/>
                <w:sz w:val="21"/>
              </w:rPr>
              <w:br/>
              <w:t xml:space="preserve">15、灯具照度：强光平均值≥2000 lx，最小值：≥1400 lx；弱光平均值≥1300 lx，最小值≥700lx。</w:t>
            </w:r>
            <w:r>
              <w:rPr>
                <w:rFonts w:hint="eastAsia" w:ascii="宋体" w:hAnsi="宋体" w:eastAsia="宋体" w:cs="宋体"/>
                <w:sz w:val="21"/>
              </w:rPr>
              <w:br/>
              <w:t xml:space="preserve">16、灯具开关经50000次可靠性试验后应保持完好，且灯具应正常点亮，并实现强、弱光切换。</w:t>
            </w:r>
            <w:r>
              <w:rPr>
                <w:rFonts w:hint="eastAsia" w:ascii="宋体" w:hAnsi="宋体" w:eastAsia="宋体" w:cs="宋体"/>
                <w:sz w:val="21"/>
              </w:rPr>
              <w:br/>
              <w:t xml:space="preserve">17、灯具在零下25度低温及55度高温下，持续工作2小时，仍能正常开关及切换强弱光</w:t>
            </w:r>
            <w:r>
              <w:rPr>
                <w:rFonts w:hint="eastAsia" w:ascii="宋体" w:hAnsi="宋体" w:eastAsia="宋体" w:cs="宋体"/>
                <w:sz w:val="21"/>
              </w:rPr>
              <w:br/>
              <w:t xml:space="preserve">18、灯具在1m处跌落，无机械损伤和紧固件松动，且仍能正常开关及切换强弱光</w:t>
            </w:r>
            <w:r>
              <w:rPr>
                <w:rFonts w:hint="eastAsia" w:ascii="宋体" w:hAnsi="宋体" w:eastAsia="宋体" w:cs="宋体"/>
                <w:sz w:val="21"/>
              </w:rPr>
              <w:br/>
              <w:t xml:space="preserve">19、需提供国家认可的第三方检测检验机构出具的检测检验报告</w:t>
            </w:r>
            <w:r>
              <w:rPr>
                <w:rFonts w:hint="eastAsia" w:ascii="宋体" w:hAnsi="宋体" w:eastAsia="宋体" w:cs="宋体"/>
                <w:sz w:val="21"/>
              </w:rPr>
              <w:br/>
              <w:t xml:space="preserve">20、提供防爆证书复印件；</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手抬泵1</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台</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1、消防泵整体符合GB6245-2006《消防泵》标准要求；</w:t>
            </w:r>
            <w:r>
              <w:rPr>
                <w:rFonts w:hint="eastAsia" w:ascii="宋体" w:hAnsi="宋体" w:eastAsia="宋体" w:cs="宋体"/>
                <w:sz w:val="21"/>
              </w:rPr>
              <w:br/>
              <w:t xml:space="preserve">2、发动机采用(EFI）电子燃油喷射系统，运行更加稳定。</w:t>
            </w:r>
            <w:r>
              <w:rPr>
                <w:rFonts w:hint="eastAsia" w:ascii="宋体" w:hAnsi="宋体" w:eastAsia="宋体" w:cs="宋体"/>
                <w:sz w:val="21"/>
              </w:rPr>
              <w:br/>
              <w:t xml:space="preserve">3、发动机类型：立式，单缸，手动，电动, 风冷，二冲程；</w:t>
            </w:r>
            <w:r>
              <w:rPr>
                <w:rFonts w:hint="eastAsia" w:ascii="宋体" w:hAnsi="宋体" w:eastAsia="宋体" w:cs="宋体"/>
                <w:sz w:val="21"/>
              </w:rPr>
              <w:br/>
              <w:t xml:space="preserve">4、输出功率：≥10KW;</w:t>
            </w:r>
            <w:r>
              <w:rPr>
                <w:rFonts w:hint="eastAsia" w:ascii="宋体" w:hAnsi="宋体" w:eastAsia="宋体" w:cs="宋体"/>
                <w:sz w:val="21"/>
              </w:rPr>
              <w:br/>
              <w:t xml:space="preserve">5、转速：≥6000转/分钟；</w:t>
            </w:r>
            <w:r>
              <w:rPr>
                <w:rFonts w:hint="eastAsia" w:ascii="宋体" w:hAnsi="宋体" w:eastAsia="宋体" w:cs="宋体"/>
                <w:sz w:val="21"/>
              </w:rPr>
              <w:br/>
              <w:t xml:space="preserve">6、油箱容积：≥5L；</w:t>
            </w:r>
            <w:r>
              <w:rPr>
                <w:rFonts w:hint="eastAsia" w:ascii="宋体" w:hAnsi="宋体" w:eastAsia="宋体" w:cs="宋体"/>
                <w:sz w:val="21"/>
              </w:rPr>
              <w:br/>
              <w:t xml:space="preserve">7、水泵类型：单泵单程离心泵；</w:t>
            </w:r>
            <w:r>
              <w:rPr>
                <w:rFonts w:hint="eastAsia" w:ascii="宋体" w:hAnsi="宋体" w:eastAsia="宋体" w:cs="宋体"/>
                <w:sz w:val="21"/>
              </w:rPr>
              <w:br/>
              <w:t xml:space="preserve">8、真空泵：碳纤维活片无油式（最大吸程约9米）</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9、额定流量：≥9.5L/S（吸深3米）;</w:t>
            </w:r>
            <w:r>
              <w:rPr>
                <w:rFonts w:hint="eastAsia" w:ascii="宋体" w:hAnsi="宋体" w:eastAsia="宋体" w:cs="宋体"/>
                <w:sz w:val="21"/>
              </w:rPr>
              <w:br/>
              <w:t xml:space="preserve">10、额定压力：≥0.5MPA;</w:t>
            </w:r>
            <w:r>
              <w:rPr>
                <w:rFonts w:hint="eastAsia" w:ascii="宋体" w:hAnsi="宋体" w:eastAsia="宋体" w:cs="宋体"/>
                <w:sz w:val="21"/>
              </w:rPr>
              <w:br/>
              <w:t xml:space="preserve">11、吸水口：≤65mmm；</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12、重量：≤55KG</w:t>
            </w:r>
            <w:r>
              <w:rPr>
                <w:rFonts w:hint="eastAsia" w:ascii="宋体" w:hAnsi="宋体" w:eastAsia="宋体" w:cs="宋体"/>
                <w:sz w:val="21"/>
              </w:rPr>
              <w:br/>
              <w:t xml:space="preserve">13、需提供国家认可的第三方检测检验机构出具的检测检验报告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手抬泵2</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台</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1、消防泵整体符合GB6245-2006《消防泵》标准要求；</w:t>
            </w:r>
            <w:r>
              <w:rPr>
                <w:rFonts w:hint="eastAsia" w:ascii="宋体" w:hAnsi="宋体" w:eastAsia="宋体" w:cs="宋体"/>
                <w:sz w:val="21"/>
              </w:rPr>
              <w:br/>
              <w:t xml:space="preserve">2、发动机类型：卧式，双缸，电动，水冷，二冲程汽油机；</w:t>
            </w:r>
            <w:r>
              <w:rPr>
                <w:rFonts w:hint="eastAsia" w:ascii="宋体" w:hAnsi="宋体" w:eastAsia="宋体" w:cs="宋体"/>
                <w:sz w:val="21"/>
              </w:rPr>
              <w:br/>
              <w:t xml:space="preserve">3、发动机需带有过热保护功能，燃油应采用自动混合比例供应；</w:t>
            </w:r>
            <w:r>
              <w:rPr>
                <w:rFonts w:hint="eastAsia" w:ascii="宋体" w:hAnsi="宋体" w:eastAsia="宋体" w:cs="宋体"/>
                <w:sz w:val="21"/>
              </w:rPr>
              <w:br/>
              <w:t xml:space="preserve">4、启动方式：电启动/自回式手拉绳启动随意切换；</w:t>
            </w:r>
            <w:r>
              <w:rPr>
                <w:rFonts w:hint="eastAsia" w:ascii="宋体" w:hAnsi="宋体" w:eastAsia="宋体" w:cs="宋体"/>
                <w:sz w:val="21"/>
              </w:rPr>
              <w:br/>
              <w:t xml:space="preserve">5、水泵类型：单泵单程离心泵，碳纤维活片无油式真空泵；</w:t>
            </w:r>
            <w:r>
              <w:rPr>
                <w:rFonts w:hint="eastAsia" w:ascii="宋体" w:hAnsi="宋体" w:eastAsia="宋体" w:cs="宋体"/>
                <w:sz w:val="21"/>
              </w:rPr>
              <w:br/>
              <w:t xml:space="preserve">6、手动操作吸水，最大吸程≥7米；</w:t>
            </w:r>
            <w:r>
              <w:rPr>
                <w:rFonts w:hint="eastAsia" w:ascii="宋体" w:hAnsi="宋体" w:eastAsia="宋体" w:cs="宋体"/>
                <w:sz w:val="21"/>
              </w:rPr>
              <w:br/>
              <w:t xml:space="preserve">7、输出功率：≥33KW;</w:t>
            </w:r>
            <w:r>
              <w:rPr>
                <w:rFonts w:hint="eastAsia" w:ascii="宋体" w:hAnsi="宋体" w:eastAsia="宋体" w:cs="宋体"/>
                <w:sz w:val="21"/>
              </w:rPr>
              <w:br/>
              <w:t xml:space="preserve">8、转速：≥5200转/分钟；</w:t>
            </w:r>
            <w:r>
              <w:rPr>
                <w:rFonts w:hint="eastAsia" w:ascii="宋体" w:hAnsi="宋体" w:eastAsia="宋体" w:cs="宋体"/>
                <w:sz w:val="21"/>
              </w:rPr>
              <w:br/>
              <w:t xml:space="preserve">9、油箱容积：≥17L；</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10、额定流量：≥19L/S（吸深3米）;</w:t>
            </w:r>
            <w:r>
              <w:rPr>
                <w:rFonts w:hint="eastAsia" w:ascii="宋体" w:hAnsi="宋体" w:eastAsia="宋体" w:cs="宋体"/>
                <w:sz w:val="21"/>
              </w:rPr>
              <w:br/>
              <w:t xml:space="preserve">11、额定压力：≥0.5MPA;</w:t>
            </w:r>
            <w:r>
              <w:rPr>
                <w:rFonts w:hint="eastAsia" w:ascii="宋体" w:hAnsi="宋体" w:eastAsia="宋体" w:cs="宋体"/>
                <w:sz w:val="21"/>
              </w:rPr>
              <w:br/>
              <w:t xml:space="preserve">12、进水口≧Ø80mm；</w:t>
            </w:r>
            <w:r>
              <w:rPr>
                <w:rFonts w:hint="eastAsia" w:ascii="宋体" w:hAnsi="宋体" w:eastAsia="宋体" w:cs="宋体"/>
                <w:sz w:val="21"/>
              </w:rPr>
              <w:br/>
              <w:t xml:space="preserve">13、出水口≧Ø65mm，可转动180度；</w:t>
            </w:r>
            <w:r>
              <w:rPr>
                <w:rFonts w:hint="eastAsia" w:ascii="宋体" w:hAnsi="宋体" w:eastAsia="宋体" w:cs="宋体"/>
                <w:sz w:val="21"/>
              </w:rPr>
              <w:br/>
              <w:t xml:space="preserve">14、引水时间≦11秒；</w:t>
            </w:r>
            <w:r>
              <w:rPr>
                <w:rFonts w:hint="eastAsia" w:ascii="宋体" w:hAnsi="宋体" w:eastAsia="宋体" w:cs="宋体"/>
                <w:sz w:val="21"/>
              </w:rPr>
              <w:br/>
              <w:t xml:space="preserve">15、整机体积为≦705mm×625mm×735mm</w:t>
            </w:r>
            <w:r>
              <w:rPr>
                <w:rFonts w:hint="eastAsia" w:ascii="宋体" w:hAnsi="宋体" w:eastAsia="宋体" w:cs="宋体"/>
                <w:sz w:val="21"/>
              </w:rPr>
              <w:br/>
            </w:r>
            <w:r>
              <w:rPr>
                <w:rFonts w:hint="eastAsia" w:ascii="宋体" w:hAnsi="宋体" w:eastAsia="宋体" w:cs="宋体"/>
                <w:sz w:val="21"/>
              </w:rPr>
              <w:t xml:space="preserve">▲</w:t>
            </w:r>
            <w:r>
              <w:rPr>
                <w:rFonts w:hint="eastAsia" w:ascii="宋体" w:hAnsi="宋体" w:eastAsia="宋体" w:cs="宋体"/>
                <w:sz w:val="21"/>
              </w:rPr>
              <w:t xml:space="preserve">16、重量：≤100KG</w:t>
            </w:r>
            <w:r>
              <w:rPr>
                <w:rFonts w:hint="eastAsia" w:ascii="宋体" w:hAnsi="宋体" w:eastAsia="宋体" w:cs="宋体"/>
                <w:sz w:val="21"/>
              </w:rPr>
              <w:br/>
              <w:t xml:space="preserve">17、需提供国家认可的第三方检测检验机构出具的检测检验报告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分水器</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个</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1、符合XF868-2010《分水器和集水器》标准；</w:t>
            </w:r>
            <w:r>
              <w:rPr>
                <w:rFonts w:hint="eastAsia" w:ascii="宋体" w:hAnsi="宋体" w:eastAsia="宋体" w:cs="宋体"/>
                <w:sz w:val="21"/>
              </w:rPr>
              <w:br/>
              <w:t xml:space="preserve">2、接口：采用锻造工艺，选用铝镁合金A6061材质，表面金色阳极氧化防腐处理；</w:t>
            </w:r>
            <w:r>
              <w:rPr>
                <w:rFonts w:hint="eastAsia" w:ascii="宋体" w:hAnsi="宋体" w:eastAsia="宋体" w:cs="宋体"/>
                <w:sz w:val="21"/>
              </w:rPr>
              <w:br/>
              <w:t xml:space="preserve">3、阀体：采用压铸工艺，选用YL112材质，表面红色喷塑防腐处理；</w:t>
            </w:r>
            <w:r>
              <w:rPr>
                <w:rFonts w:hint="eastAsia" w:ascii="宋体" w:hAnsi="宋体" w:eastAsia="宋体" w:cs="宋体"/>
                <w:sz w:val="21"/>
              </w:rPr>
              <w:br/>
              <w:t xml:space="preserve">4、手柄：采用锻造工艺，选用铝镁合金A6061材质，表面阳极氧化防腐处理；</w:t>
            </w:r>
            <w:r>
              <w:rPr>
                <w:rFonts w:hint="eastAsia" w:ascii="宋体" w:hAnsi="宋体" w:eastAsia="宋体" w:cs="宋体"/>
                <w:sz w:val="21"/>
              </w:rPr>
              <w:br/>
              <w:t xml:space="preserve">5、球体：选用铝合金材质，减压式T型通孔球体，表面黑色阳极氧化防腐处理；</w:t>
            </w:r>
            <w:r>
              <w:rPr>
                <w:rFonts w:hint="eastAsia" w:ascii="宋体" w:hAnsi="宋体" w:eastAsia="宋体" w:cs="宋体"/>
                <w:sz w:val="21"/>
              </w:rPr>
              <w:br/>
              <w:t xml:space="preserve">6、把手：T型浸塑把手；</w:t>
            </w:r>
            <w:r>
              <w:rPr>
                <w:rFonts w:hint="eastAsia" w:ascii="宋体" w:hAnsi="宋体" w:eastAsia="宋体" w:cs="宋体"/>
                <w:sz w:val="21"/>
              </w:rPr>
              <w:br/>
              <w:t xml:space="preserve">7、工作压力：≥2.5Mpa</w:t>
            </w:r>
            <w:r>
              <w:rPr>
                <w:rFonts w:hint="eastAsia" w:ascii="宋体" w:hAnsi="宋体" w:eastAsia="宋体" w:cs="宋体"/>
                <w:sz w:val="21"/>
              </w:rPr>
              <w:br/>
              <w:t xml:space="preserve">8、重量：≤4.6 kg</w:t>
            </w:r>
            <w:r>
              <w:rPr>
                <w:rFonts w:hint="eastAsia" w:ascii="宋体" w:hAnsi="宋体" w:eastAsia="宋体" w:cs="宋体"/>
                <w:sz w:val="21"/>
              </w:rPr>
              <w:br/>
              <w:t xml:space="preserve">9、分水器口径为：进水口80mm卡式雄接口，出水口为3X65mm卡式雌接口</w:t>
            </w:r>
            <w:r>
              <w:rPr>
                <w:rFonts w:hint="eastAsia" w:ascii="宋体" w:hAnsi="宋体" w:eastAsia="宋体" w:cs="宋体"/>
                <w:sz w:val="21"/>
              </w:rPr>
              <w:br/>
              <w:t xml:space="preserve">10、需提供国家认可的第三方检测检验机构出具的检测检验报告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消防水带65</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120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盘</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1、符合 CCF-MHSB-07《强制性产品认证实施细则》和 GB6246-2011 标准；</w:t>
            </w:r>
            <w:r>
              <w:rPr>
                <w:rFonts w:hint="eastAsia" w:ascii="宋体" w:hAnsi="宋体" w:eastAsia="宋体" w:cs="宋体"/>
                <w:sz w:val="21"/>
              </w:rPr>
              <w:br/>
              <w:t xml:space="preserve">2、水带外层采用高强涤纶长丝材料编织而成，织物层应均匀，表面整洁；无跳双经、断双经、跳纬及划伤。内衬聚氨酯材料（又名 TPU），衬里的厚度应均匀，表面应光滑平整、无折皱或其他缺陷，重量轻，易收卷，出水快；</w:t>
            </w:r>
            <w:r>
              <w:rPr>
                <w:rFonts w:hint="eastAsia" w:ascii="宋体" w:hAnsi="宋体" w:eastAsia="宋体" w:cs="宋体"/>
                <w:sz w:val="21"/>
              </w:rPr>
              <w:br/>
              <w:t xml:space="preserve">3、水带内径：（63.5-65.5）mm，标准工作压力：1.6MPa，爆破压力≥6.0MPa；</w:t>
            </w:r>
            <w:r>
              <w:rPr>
                <w:rFonts w:hint="eastAsia" w:ascii="宋体" w:hAnsi="宋体" w:eastAsia="宋体" w:cs="宋体"/>
                <w:sz w:val="21"/>
              </w:rPr>
              <w:br/>
              <w:t xml:space="preserve">4、每盘长度 20 米，整盘水带的重量轻便，便于消防战士使用；</w:t>
            </w:r>
            <w:r>
              <w:rPr>
                <w:rFonts w:hint="eastAsia" w:ascii="宋体" w:hAnsi="宋体" w:eastAsia="宋体" w:cs="宋体"/>
                <w:sz w:val="21"/>
              </w:rPr>
              <w:br/>
              <w:t xml:space="preserve">5、单位长度重量≤280g/m。水带在高压水流的作用下，抗形变能力良好，轴向延伸率≤1.5％，直径膨胀率≤2.5％，附着强度≥65N/25mm；扯断伸长率≥340%；扯断强度≥50MPa</w:t>
            </w:r>
            <w:r>
              <w:rPr>
                <w:rFonts w:hint="eastAsia" w:ascii="宋体" w:hAnsi="宋体" w:eastAsia="宋体" w:cs="宋体"/>
                <w:sz w:val="21"/>
              </w:rPr>
              <w:br/>
            </w:r>
            <w:r>
              <w:rPr>
                <w:rFonts w:ascii="宋体" w:hAnsi="宋体" w:eastAsia="宋体" w:cs="宋体"/>
                <w:sz w:val="21"/>
              </w:rPr>
              <w:t xml:space="preserve">6</w:t>
            </w:r>
            <w:r>
              <w:rPr>
                <w:rFonts w:hint="eastAsia" w:ascii="宋体" w:hAnsi="宋体" w:eastAsia="宋体" w:cs="宋体"/>
                <w:sz w:val="21"/>
              </w:rPr>
              <w:t xml:space="preserve">、水带端部注明：厂名、编号、原料、公称内径、长度、生产日期、设计工作压力；</w:t>
            </w:r>
            <w:r>
              <w:rPr>
                <w:rFonts w:hint="eastAsia" w:ascii="宋体" w:hAnsi="宋体" w:eastAsia="宋体" w:cs="宋体"/>
                <w:sz w:val="21"/>
              </w:rPr>
              <w:br/>
              <w:t xml:space="preserve">7、水带两端绑扎普通卡式接口，公称压力 1.6MPa。接口外观质量：表面平整、光洁，表面应进行阳极氧化处理；加工表面应无损伤，无结疤、裂痕、砂眼。配专用橡胶水带护套。</w:t>
            </w:r>
            <w:r>
              <w:rPr>
                <w:rFonts w:hint="eastAsia" w:ascii="宋体" w:hAnsi="宋体" w:eastAsia="宋体" w:cs="宋体"/>
                <w:sz w:val="21"/>
              </w:rPr>
              <w:br/>
            </w:r>
            <w:r>
              <w:rPr>
                <w:rFonts w:hint="eastAsia" w:ascii="宋体" w:hAnsi="宋体" w:eastAsia="宋体" w:cs="宋体"/>
                <w:sz w:val="21"/>
              </w:rPr>
              <w:t xml:space="preserve">8、</w:t>
            </w:r>
            <w:r>
              <w:rPr>
                <w:rFonts w:hint="eastAsia" w:ascii="宋体" w:hAnsi="宋体" w:eastAsia="宋体" w:cs="宋体"/>
                <w:sz w:val="21"/>
              </w:rPr>
              <w:t xml:space="preserve">需提供国家认可的第三方检测检验机构出具的检测检验报告</w:t>
            </w:r>
            <w:r/>
          </w:p>
        </w:tc>
      </w:tr>
      <w:tr>
        <w:trPr>
          <w:jc w:val="center"/>
          <w:trHeight w:val="283"/>
        </w:trPr>
        <w:tc>
          <w:tcPr>
            <w:shd w:val="clear" w:color="auto" w:fill="auto"/>
            <w:tcW w:w="1134" w:type="dxa"/>
            <w:vAlign w:val="center"/>
            <w:textDirection w:val="lrTb"/>
            <w:noWrap w:val="false"/>
          </w:tcPr>
          <w:p>
            <w:pPr>
              <w:jc w:val="center"/>
              <w:widowControl/>
              <w:rPr>
                <w:rFonts w:ascii="宋体" w:hAnsi="宋体" w:eastAsia="宋体" w:cs="宋体"/>
                <w:sz w:val="21"/>
              </w:rPr>
            </w:pPr>
            <w:r>
              <w:rPr>
                <w:rFonts w:hint="eastAsia" w:ascii="宋体" w:hAnsi="宋体" w:eastAsia="宋体" w:cs="宋体"/>
                <w:sz w:val="21"/>
              </w:rPr>
              <w:t xml:space="preserve">消防水带</w:t>
            </w:r>
            <w:r>
              <w:rPr>
                <w:rFonts w:hint="eastAsia" w:ascii="宋体" w:hAnsi="宋体" w:eastAsia="宋体" w:cs="宋体"/>
                <w:sz w:val="21"/>
              </w:rPr>
              <w:t xml:space="preserve">80</w:t>
            </w:r>
            <w:r/>
          </w:p>
        </w:tc>
        <w:tc>
          <w:tcPr>
            <w:shd w:val="clear" w:color="auto" w:fill="auto"/>
            <w:tcW w:w="708"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180</w:t>
            </w:r>
            <w:r/>
          </w:p>
        </w:tc>
        <w:tc>
          <w:tcPr>
            <w:shd w:val="clear" w:color="auto" w:fill="auto"/>
            <w:tcW w:w="709" w:type="dxa"/>
            <w:vAlign w:val="center"/>
            <w:textDirection w:val="lrTb"/>
            <w:noWrap/>
          </w:tcPr>
          <w:p>
            <w:pPr>
              <w:jc w:val="center"/>
              <w:widowControl/>
              <w:rPr>
                <w:rFonts w:ascii="宋体" w:hAnsi="宋体" w:eastAsia="宋体" w:cs="宋体"/>
                <w:sz w:val="21"/>
              </w:rPr>
            </w:pPr>
            <w:r>
              <w:rPr>
                <w:rFonts w:hint="eastAsia" w:ascii="宋体" w:hAnsi="宋体" w:eastAsia="宋体" w:cs="宋体"/>
                <w:sz w:val="21"/>
              </w:rPr>
              <w:t xml:space="preserve">盘</w:t>
            </w:r>
            <w:r/>
          </w:p>
        </w:tc>
        <w:tc>
          <w:tcPr>
            <w:shd w:val="clear" w:color="auto" w:fill="auto"/>
            <w:tcW w:w="6451" w:type="dxa"/>
            <w:vAlign w:val="center"/>
            <w:textDirection w:val="lrTb"/>
            <w:noWrap w:val="false"/>
          </w:tcPr>
          <w:p>
            <w:pPr>
              <w:jc w:val="left"/>
              <w:widowControl/>
              <w:rPr>
                <w:rFonts w:ascii="宋体" w:hAnsi="宋体" w:eastAsia="宋体" w:cs="宋体"/>
                <w:sz w:val="21"/>
              </w:rPr>
            </w:pPr>
            <w:r>
              <w:rPr>
                <w:rFonts w:hint="eastAsia" w:ascii="宋体" w:hAnsi="宋体" w:eastAsia="宋体" w:cs="宋体"/>
                <w:sz w:val="21"/>
              </w:rPr>
              <w:t xml:space="preserve">1、符合 CCF-MHSB-07《强制性产品认证实施细则》和 GB6246-2011 </w:t>
            </w:r>
            <w:r>
              <w:rPr>
                <w:rFonts w:hint="eastAsia" w:ascii="宋体" w:hAnsi="宋体" w:eastAsia="宋体" w:cs="宋体"/>
                <w:sz w:val="21"/>
              </w:rPr>
              <w:t xml:space="preserve">标准；</w:t>
            </w:r>
            <w:r>
              <w:rPr>
                <w:rFonts w:hint="eastAsia" w:ascii="宋体" w:hAnsi="宋体" w:eastAsia="宋体" w:cs="宋体"/>
                <w:sz w:val="21"/>
              </w:rPr>
              <w:br/>
              <w:t xml:space="preserve">2、水带外层采用高强涤纶长丝材料编织而成，织物层应均匀，表面整洁；无跳双经、断双经、跳纬及划伤。内衬聚氨酯材料（又名 TPU），衬里的厚度应均匀，表面应光滑平整、无折皱或其他缺陷，重量轻，易收卷，出水快；</w:t>
            </w:r>
            <w:r>
              <w:rPr>
                <w:rFonts w:hint="eastAsia" w:ascii="宋体" w:hAnsi="宋体" w:eastAsia="宋体" w:cs="宋体"/>
                <w:sz w:val="21"/>
              </w:rPr>
              <w:br/>
              <w:t xml:space="preserve">3、水带内径：（76.0-78.0）mm，标准工作压力：≥1.6MPa，爆破压力≥5.5MPa；</w:t>
            </w:r>
            <w:r>
              <w:rPr>
                <w:rFonts w:hint="eastAsia" w:ascii="宋体" w:hAnsi="宋体" w:eastAsia="宋体" w:cs="宋体"/>
                <w:sz w:val="21"/>
              </w:rPr>
              <w:br/>
              <w:t xml:space="preserve">4、每盘长度 20 米，整盘水带的重量轻便，便于消防战士使用；</w:t>
            </w:r>
            <w:r>
              <w:rPr>
                <w:rFonts w:hint="eastAsia" w:ascii="宋体" w:hAnsi="宋体" w:eastAsia="宋体" w:cs="宋体"/>
                <w:sz w:val="21"/>
              </w:rPr>
              <w:br/>
              <w:t xml:space="preserve">5、单位长度重量≤340g/m。水带在高压水流的作用下，抗形变能力良好，轴向延伸率≤1.5％，直径膨胀率≤2.5％，附着强度≥65N/25mm；扯断伸长率≥340%；扯断强度≥50MPa（参数指标可核查检验报告）；</w:t>
            </w:r>
            <w:r>
              <w:rPr>
                <w:rFonts w:hint="eastAsia" w:ascii="宋体" w:hAnsi="宋体" w:eastAsia="宋体" w:cs="宋体"/>
                <w:sz w:val="21"/>
              </w:rPr>
              <w:br/>
              <w:t xml:space="preserve">6、水带端部注明：厂名、编号、原料、公称内径、长度、生产日期、设计工作压力；</w:t>
            </w:r>
            <w:r>
              <w:rPr>
                <w:rFonts w:hint="eastAsia" w:ascii="宋体" w:hAnsi="宋体" w:eastAsia="宋体" w:cs="宋体"/>
                <w:sz w:val="21"/>
              </w:rPr>
              <w:br/>
              <w:t xml:space="preserve">7、水带两端绑扎普通卡式接口，公称压力 1.6MPa。接口外观质量：表面平整、光洁，表面应进行阳极氧化处理；加工表面应无损伤，无结疤、裂痕、砂眼。配专用橡胶水带护套。</w:t>
            </w:r>
            <w:r>
              <w:rPr>
                <w:rFonts w:hint="eastAsia" w:ascii="宋体" w:hAnsi="宋体" w:eastAsia="宋体" w:cs="宋体"/>
                <w:sz w:val="21"/>
              </w:rPr>
              <w:br/>
            </w:r>
            <w:r>
              <w:rPr>
                <w:rFonts w:ascii="宋体" w:hAnsi="宋体" w:eastAsia="宋体" w:cs="宋体"/>
                <w:sz w:val="21"/>
              </w:rPr>
              <w:t xml:space="preserve">8</w:t>
            </w:r>
            <w:r>
              <w:rPr>
                <w:rFonts w:hint="eastAsia" w:ascii="宋体" w:hAnsi="宋体" w:eastAsia="宋体" w:cs="宋体"/>
                <w:sz w:val="21"/>
              </w:rPr>
              <w:t xml:space="preserve">、</w:t>
            </w:r>
            <w:r>
              <w:rPr>
                <w:rFonts w:hint="eastAsia" w:ascii="宋体" w:hAnsi="宋体" w:eastAsia="宋体" w:cs="宋体"/>
                <w:sz w:val="21"/>
              </w:rPr>
              <w:t xml:space="preserve">需提供国家认可的第三方检测检验机构出具的检测检验报告</w:t>
            </w:r>
            <w:r/>
          </w:p>
        </w:tc>
      </w:tr>
    </w:tbl>
    <w:p>
      <w:pPr>
        <w:ind w:firstLine="422"/>
        <w:spacing w:line="360" w:lineRule="auto"/>
        <w:tabs>
          <w:tab w:val="left" w:pos="567" w:leader="none"/>
        </w:tabs>
        <w:rPr>
          <w:rFonts w:ascii="宋体" w:hAnsi="宋体" w:eastAsia="宋体" w:cs="宋体"/>
          <w:b/>
          <w:sz w:val="21"/>
          <w:szCs w:val="21"/>
        </w:rPr>
      </w:pPr>
      <w:r>
        <w:rPr>
          <w:rFonts w:hint="eastAsia" w:ascii="宋体" w:hAnsi="宋体" w:eastAsia="宋体" w:cs="宋体"/>
          <w:b/>
          <w:sz w:val="21"/>
          <w:szCs w:val="21"/>
        </w:rPr>
        <w:t xml:space="preserve">注：</w:t>
      </w:r>
      <w:r/>
    </w:p>
    <w:p>
      <w:pPr>
        <w:ind w:firstLine="422"/>
        <w:spacing w:line="360" w:lineRule="auto"/>
        <w:tabs>
          <w:tab w:val="left" w:pos="567" w:leader="none"/>
        </w:tabs>
        <w:rPr>
          <w:rFonts w:ascii="宋体" w:hAnsi="宋体" w:eastAsia="宋体" w:cs="宋体"/>
          <w:b/>
          <w:sz w:val="21"/>
          <w:szCs w:val="21"/>
        </w:rPr>
      </w:pPr>
      <w:r>
        <w:rPr>
          <w:rFonts w:hint="eastAsia" w:ascii="宋体" w:hAnsi="宋体" w:eastAsia="宋体" w:cs="宋体"/>
          <w:b/>
          <w:sz w:val="21"/>
          <w:szCs w:val="21"/>
        </w:rPr>
        <w:t xml:space="preserve">1、带“※”的为核心产品：</w:t>
      </w:r>
      <w:r>
        <w:rPr>
          <w:rFonts w:hint="eastAsia" w:ascii="宋体" w:hAnsi="宋体" w:eastAsia="宋体" w:cs="宋体"/>
          <w:b/>
          <w:sz w:val="21"/>
        </w:rPr>
        <w:t xml:space="preserve">正压式空气呼吸器（6.8L)</w:t>
      </w:r>
      <w:r>
        <w:rPr>
          <w:rFonts w:hint="eastAsia" w:ascii="宋体" w:hAnsi="宋体" w:eastAsia="宋体" w:cs="宋体"/>
          <w:b/>
          <w:sz w:val="21"/>
          <w:szCs w:val="21"/>
        </w:rPr>
        <w:t xml:space="preserve">、手持防爆电台。核心产品的所有要求必须全部响应，如有其中任意一处不响应处作无效标处理。</w:t>
      </w:r>
      <w:r/>
    </w:p>
    <w:p>
      <w:pPr>
        <w:ind w:firstLine="422"/>
        <w:spacing w:line="360" w:lineRule="auto"/>
        <w:tabs>
          <w:tab w:val="left" w:pos="567" w:leader="none"/>
        </w:tabs>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除核心产品及标“</w:t>
      </w:r>
      <w:r>
        <w:rPr>
          <w:rFonts w:hint="eastAsia" w:ascii="宋体" w:hAnsi="宋体" w:eastAsia="宋体" w:cs="宋体"/>
          <w:sz w:val="20"/>
        </w:rPr>
        <w:t xml:space="preserve">▲</w:t>
      </w:r>
      <w:r>
        <w:rPr>
          <w:rFonts w:hint="eastAsia" w:ascii="宋体" w:hAnsi="宋体" w:eastAsia="宋体" w:cs="宋体"/>
          <w:b/>
          <w:sz w:val="21"/>
          <w:szCs w:val="21"/>
        </w:rPr>
        <w:t xml:space="preserve">”的技术要求得分项中要求的检测</w:t>
      </w:r>
      <w:r>
        <w:rPr>
          <w:rFonts w:hint="eastAsia" w:ascii="宋体" w:hAnsi="宋体" w:eastAsia="宋体" w:cs="宋体"/>
          <w:b/>
          <w:sz w:val="21"/>
          <w:szCs w:val="21"/>
        </w:rPr>
        <w:t xml:space="preserve">检验</w:t>
      </w:r>
      <w:r>
        <w:rPr>
          <w:rFonts w:hint="eastAsia" w:ascii="宋体" w:hAnsi="宋体" w:eastAsia="宋体" w:cs="宋体"/>
          <w:b/>
          <w:sz w:val="21"/>
          <w:szCs w:val="21"/>
        </w:rPr>
        <w:t xml:space="preserve">报告以外，清单中其余检测检验报告均为中标后、供货前按要求提供，投标时无需提供。</w:t>
      </w:r>
      <w:r/>
    </w:p>
    <w:p>
      <w:pPr>
        <w:ind w:firstLine="422"/>
        <w:spacing w:line="360" w:lineRule="auto"/>
        <w:tabs>
          <w:tab w:val="left" w:pos="567" w:leader="none"/>
        </w:tabs>
        <w:rPr>
          <w:rFonts w:ascii="宋体" w:hAnsi="宋体" w:eastAsia="宋体" w:cs="宋体"/>
          <w:b/>
          <w:sz w:val="21"/>
          <w:szCs w:val="21"/>
        </w:rPr>
      </w:pPr>
      <w:r>
        <w:rPr>
          <w:rFonts w:hint="eastAsia" w:ascii="宋体" w:hAnsi="宋体" w:eastAsia="宋体" w:cs="宋体"/>
          <w:b/>
          <w:sz w:val="21"/>
          <w:szCs w:val="21"/>
        </w:rPr>
        <w:t xml:space="preserve">五、安装、验收、售后服务：</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1、服务期限：合同签订之日起三个月内交付完毕，具体以合同签订时间为准。</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2、项目交货地点：根据甲方要求送达指定地点。</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3、中标人应保证所供标的物是全新的，未使用过的、性能良好、符合环保的、 原装、原产、合法、正规途径的货物，并且是非长期积压的库存商品，完全符合采购设备规定的质量、规格和性能的要求，严禁提供假冒、伪劣或非正规途径之产品。产品配置必须原厂出厂时全部自带，所有设备外包装箱不得自行拆封，包装箱上所有标签等不得涂改或撕毁，除有特殊要求外，其余均为标准配置，否则采购人有权拒绝验收。中标人应保证其提供的标的物在正确安装、正常使用和保养条件下，在其标称的使用寿命期内应具有满意的性能。</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货物到达安装现场后，中标人和采购人共同打开包装验货检查货物数量。中标人应提供详细单据。如果货物质量或技术规格与合同不符，或货物有明显损坏，采购人有权提出索赔。只有经安装调试并且技术性能达到本招标文件所述的技术要求后，采购人才能接受全部货物。仪器设备不满足招标文件要求的，采购人有权解除合同并追究中标人法律责任。</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、中标人负责供货、运输、安装调试，并确保涉及的信息平台运行正常。</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、中标人在项目实施过程中，进场单位和人员的资质、资格符合国家、省、市有关规定。施工期间如由中标人原因造成的安全事故，均应由中标人负责，按有关规定处理善后事宜，并承担给采购人造成的损失。</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、中标人应提供完备的技术资料、装箱单和合格证等，并派遣专业技术人员进行现场安装调试。验收合格条件如下：</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（1）设备技术参数与招标文件及采购合同一致，性能指标达到招标文件规定的标准。</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）货物技术资料、装箱单、合格证等资料齐全。</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3</w:t>
      </w:r>
      <w:r>
        <w:rPr>
          <w:rFonts w:hint="eastAsia" w:ascii="宋体" w:hAnsi="宋体" w:eastAsia="宋体" w:cs="宋体"/>
          <w:sz w:val="21"/>
          <w:szCs w:val="21"/>
        </w:rPr>
        <w:t xml:space="preserve">）在系统试运行期间所出现的问题得到解决，并运行正常。</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4</w:t>
      </w:r>
      <w:r>
        <w:rPr>
          <w:rFonts w:hint="eastAsia" w:ascii="宋体" w:hAnsi="宋体" w:eastAsia="宋体" w:cs="宋体"/>
          <w:sz w:val="21"/>
          <w:szCs w:val="21"/>
        </w:rPr>
        <w:t xml:space="preserve">）在规定时间内完成交货并验收，并经采购人确认。</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产品在安装调试并试运行符合要求后，才进行最终验收。验收期限在安装调试结束后六个月内进行。特殊情况需延长的，双方应特别约定。采购人和相关部门按照招标文件和投标文件承诺进行验收。招标文件没有规定和投标文件没有相应承诺的，按照下列原则进行验收：有国家标准的按照国家标准验收，没有国家标准的按行业标准验收，无行业标准的按地方或企业标准验收，中标人予以配合。涉及需要由质检或行业主管部门验收的项</w:t>
      </w:r>
      <w:r>
        <w:rPr>
          <w:rFonts w:hint="eastAsia" w:ascii="宋体" w:hAnsi="宋体" w:eastAsia="宋体" w:cs="宋体"/>
          <w:sz w:val="21"/>
          <w:szCs w:val="21"/>
        </w:rPr>
        <w:t xml:space="preserve">目，采购人须约请相关部门和专家参加项目验收。所有需要质检部门进行检测才能使用的设备，投标报价中必须包含首次检测费用。货物在验收时，投标人应提供发票、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中标人提供的必要文件汇集成册交付采购人。</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、中标人应为本项目配置项目负责人1名</w:t>
      </w:r>
      <w:r>
        <w:rPr>
          <w:rFonts w:hint="eastAsia" w:ascii="宋体" w:hAnsi="宋体" w:eastAsia="宋体" w:cs="宋体"/>
          <w:sz w:val="21"/>
          <w:szCs w:val="21"/>
        </w:rPr>
        <w:t xml:space="preserve">，</w:t>
      </w:r>
      <w:r>
        <w:rPr>
          <w:rFonts w:hint="eastAsia" w:ascii="宋体" w:hAnsi="宋体" w:eastAsia="宋体" w:cs="宋体"/>
          <w:sz w:val="21"/>
          <w:szCs w:val="21"/>
        </w:rPr>
        <w:t xml:space="preserve">并根据自身实际，配置售后服务人员，建立良好的售后服务体系。在质保期内，如货物出现质量问题，2小时响应，8小时内到达现场，48小时内解决问题。如果无法按照要求及时响应或解决问题，每次扣除3000元。中标人须设有7×24小时维修服务电话，负责解答用户在使用中遇到的问题，及时提出解决问题的建议和操作方法。</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10</w:t>
      </w:r>
      <w:r>
        <w:rPr>
          <w:rFonts w:hint="eastAsia" w:ascii="宋体" w:hAnsi="宋体" w:eastAsia="宋体" w:cs="宋体"/>
          <w:sz w:val="21"/>
          <w:szCs w:val="21"/>
        </w:rPr>
        <w:t xml:space="preserve">、免费技术培训：至少提供一次2名使用方技术人员的培训，包括设备的基本知识、使用方法、维护及保养技术的现场免费培训，直至其能熟练独立操作及日常维护与保养，简单故障诊断与排除。需进行厂家培训的品目，由中标单位及时安排，费用包含在投标报价中。培训是否达到要求、效果须由采购人最终认定。</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11</w:t>
      </w:r>
      <w:r>
        <w:rPr>
          <w:rFonts w:hint="eastAsia" w:ascii="宋体" w:hAnsi="宋体" w:eastAsia="宋体" w:cs="宋体"/>
          <w:sz w:val="21"/>
          <w:szCs w:val="21"/>
        </w:rPr>
        <w:t xml:space="preserve">、软件升级：免费提供软件系统升级和网络传输软件更新服务。</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12</w:t>
      </w:r>
      <w:r>
        <w:rPr>
          <w:rFonts w:hint="eastAsia" w:ascii="宋体" w:hAnsi="宋体" w:eastAsia="宋体" w:cs="宋体"/>
          <w:sz w:val="21"/>
          <w:szCs w:val="21"/>
        </w:rPr>
        <w:t xml:space="preserve">、中标人必须接受采购人的监督，中标人对采购人提出的合理意见与建议必须采纳。验收合格后中标人提供免费质保服务及相应日常运维工作。</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13</w:t>
      </w:r>
      <w:r>
        <w:rPr>
          <w:rFonts w:hint="eastAsia" w:ascii="宋体" w:hAnsi="宋体" w:eastAsia="宋体" w:cs="宋体"/>
          <w:sz w:val="21"/>
          <w:szCs w:val="21"/>
        </w:rPr>
        <w:t xml:space="preserve">、质保期：本项目质保期自全部设备验收合格起</w:t>
      </w:r>
      <w:r>
        <w:rPr>
          <w:rFonts w:hint="eastAsia" w:ascii="宋体" w:hAnsi="宋体" w:eastAsia="宋体" w:cs="宋体"/>
          <w:sz w:val="21"/>
          <w:szCs w:val="21"/>
        </w:rPr>
        <w:t xml:space="preserve">≥</w:t>
      </w:r>
      <w:r>
        <w:rPr>
          <w:rFonts w:hint="eastAsia" w:ascii="宋体" w:hAnsi="宋体" w:eastAsia="宋体" w:cs="宋体"/>
          <w:sz w:val="21"/>
          <w:szCs w:val="21"/>
        </w:rPr>
        <w:t xml:space="preserve">一年。在质保期内，应无偿并迅速更换由于元器件缺陷及工艺等问题而发生故障的产品，并对因维修、保养，更换零部件等所发生的一切费用，均由中标人承担。在期间如发生影响系统运行的重大故障，质保期应为故障排除之日起重新计算。质保期满后，应提供优先的有偿售后服务及按不高于投标文件中主要配件、易损件清单所报价格供应原厂零配件等。软件终身免费升级、免费使用。</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4</w:t>
      </w:r>
      <w:r>
        <w:rPr>
          <w:rFonts w:hint="eastAsia" w:ascii="宋体" w:hAnsi="宋体" w:eastAsia="宋体" w:cs="宋体"/>
          <w:sz w:val="21"/>
          <w:szCs w:val="21"/>
        </w:rPr>
        <w:t xml:space="preserve">、在按上述供货范围提供设备的同时，须提供与之相应的、在采购文件中规定的伴随服务，包括：技术资料、安装、调试、现场试运行、技术支持、技术协助、技术培训等，以及在本采购文件中未提及</w:t>
      </w:r>
      <w:r>
        <w:rPr>
          <w:rFonts w:hint="eastAsia" w:ascii="宋体" w:hAnsi="宋体" w:eastAsia="宋体" w:cs="宋体"/>
          <w:sz w:val="21"/>
          <w:szCs w:val="21"/>
        </w:rPr>
        <w:t xml:space="preserve">的、隐含的其它必须由中标人提供的相关服务。</w:t>
      </w:r>
      <w:r/>
    </w:p>
    <w:p>
      <w:pPr>
        <w:ind w:left="420"/>
        <w:tabs>
          <w:tab w:val="left" w:pos="640" w:leader="none"/>
        </w:tabs>
        <w:rPr>
          <w:rFonts w:ascii="宋体" w:hAnsi="宋体" w:eastAsia="宋体" w:cs="宋体"/>
          <w:b/>
          <w:bCs/>
          <w:sz w:val="21"/>
          <w:szCs w:val="21"/>
        </w:rPr>
      </w:pPr>
      <w:r>
        <w:rPr>
          <w:rFonts w:hint="eastAsia" w:ascii="宋体" w:hAnsi="宋体" w:eastAsia="宋体" w:cs="宋体"/>
          <w:b/>
          <w:bCs/>
          <w:sz w:val="21"/>
          <w:szCs w:val="21"/>
        </w:rPr>
        <w:t xml:space="preserve">六、综合说明</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1、本项目不接受进口产品投标。</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2、投标供应商中标后提供货物及配件均为按国家规格条例生产的合格正规产品、符合设计规范要求。</w:t>
      </w:r>
      <w:r/>
    </w:p>
    <w:p>
      <w:pPr>
        <w:ind w:firstLine="420"/>
        <w:spacing w:line="360" w:lineRule="auto"/>
        <w:tabs>
          <w:tab w:val="left" w:pos="567" w:leader="none"/>
        </w:tabs>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应能保证所提供货物涉及到的知识产权是合法取得，并享有完整的知识产权，不会因为需方的使用而被责令停止使用、追偿或要求赔偿损失，如出现此情况，一切经济和法律责任均由供方承担。供方提供的所有货物必须为合格产品，质量符合国际或国家通用标准，如出现质量问题或系假冒伪劣产品，供应商负责包退、包换，发生的费用由供应商负责。</w:t>
      </w:r>
      <w:r/>
    </w:p>
    <w:p>
      <w:pPr>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中标人应当遵守保密原则，对因订立和执行本合同过程中所了解或知悉或获取的对方的一切信息、国家秘密、商业秘密和个人隐私予以保密，在本合同服务期内及本合同解除或终止后均不得向采购人以外的第三方提供保密信息，除非得到采购人的同意或者属于法律、行政法规允许的范围。</w:t>
      </w:r>
      <w:bookmarkEnd w:id="66"/>
      <w:r/>
      <w:bookmarkEnd w:id="67"/>
      <w:r/>
      <w:r/>
    </w:p>
    <w:p>
      <w:pPr>
        <w:ind w:firstLine="422"/>
        <w:spacing w:line="360" w:lineRule="auto"/>
        <w:tabs>
          <w:tab w:val="left" w:pos="3600" w:leader="none"/>
        </w:tabs>
        <w:rPr>
          <w:rFonts w:ascii="宋体" w:hAnsi="宋体" w:eastAsia="宋体"/>
          <w:b/>
          <w:sz w:val="21"/>
          <w:szCs w:val="22"/>
        </w:rPr>
      </w:pPr>
      <w:r>
        <w:rPr>
          <w:rFonts w:hint="eastAsia" w:ascii="宋体" w:hAnsi="宋体" w:eastAsia="宋体"/>
          <w:b/>
          <w:sz w:val="21"/>
          <w:szCs w:val="22"/>
        </w:rPr>
        <w:t xml:space="preserve">七、政府采购政策</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1、小、微企业</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1"/>
          <w:szCs w:val="21"/>
        </w:rPr>
        <w:t xml:space="preserve">服务类项目中供应商若使用退休人员，将不享受相关扶持政策。</w:t>
      </w:r>
      <w:r/>
    </w:p>
    <w:p>
      <w:pPr>
        <w:ind w:firstLine="422"/>
        <w:spacing w:line="360" w:lineRule="auto"/>
        <w:tabs>
          <w:tab w:val="left" w:pos="567" w:leader="none"/>
        </w:tabs>
        <w:rPr>
          <w:rFonts w:ascii="宋体" w:hAnsi="宋体" w:eastAsia="宋体" w:cs="宋体"/>
          <w:sz w:val="21"/>
          <w:szCs w:val="21"/>
        </w:rPr>
      </w:pPr>
      <w:r>
        <w:rPr>
          <w:rFonts w:hint="eastAsia" w:ascii="宋体" w:hAnsi="宋体" w:eastAsia="宋体" w:cs="宋体"/>
          <w:b/>
          <w:bCs/>
          <w:sz w:val="21"/>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2、残疾人福利性单位</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3、监狱企业</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根据《关于政府采购支持监狱企业发展有关问题的通知》（财库〔2014〕68号）的相关规定，在政府</w:t>
      </w:r>
      <w:r>
        <w:rPr>
          <w:rFonts w:hint="eastAsia" w:ascii="宋体" w:hAnsi="宋体" w:eastAsia="宋体" w:cs="宋体"/>
          <w:sz w:val="21"/>
          <w:szCs w:val="21"/>
        </w:rPr>
        <w:t xml:space="preserve">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4、绿色采购</w:t>
      </w:r>
      <w:r/>
    </w:p>
    <w:p>
      <w:pPr>
        <w:ind w:firstLine="420"/>
        <w:spacing w:line="360" w:lineRule="auto"/>
        <w:tabs>
          <w:tab w:val="left" w:pos="567" w:leader="none"/>
        </w:tabs>
        <w:rPr>
          <w:rFonts w:ascii="宋体" w:hAnsi="宋体" w:eastAsia="宋体" w:cs="宋体"/>
          <w:b/>
          <w:sz w:val="21"/>
          <w:szCs w:val="21"/>
        </w:rPr>
      </w:pPr>
      <w:r>
        <w:rPr>
          <w:rFonts w:hint="eastAsia" w:ascii="宋体" w:hAnsi="宋体" w:eastAsia="宋体" w:cs="宋体"/>
          <w:sz w:val="21"/>
          <w:szCs w:val="21"/>
        </w:rPr>
        <w:t xml:space="preserve">根据《关于调整优化节能产品、环境标志产品政府采购执行机制的通知》（财库〔2019〕9号）等相关文件的规定，</w:t>
      </w:r>
      <w:r>
        <w:rPr>
          <w:rFonts w:hint="eastAsia" w:ascii="宋体" w:hAnsi="宋体" w:eastAsia="宋体" w:cs="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招标文件中提供由国家确定的认证机构出具的、处于有效期之内的节能产品认证证书复印件，否则视为未实质性响应。</w:t>
      </w:r>
      <w:r/>
    </w:p>
    <w:p>
      <w:pPr>
        <w:ind w:firstLine="420"/>
        <w:spacing w:line="360" w:lineRule="auto"/>
        <w:tabs>
          <w:tab w:val="left" w:pos="420" w:leader="none"/>
        </w:tabs>
        <w:rPr>
          <w:rFonts w:ascii="宋体" w:hAnsi="宋体" w:eastAsia="宋体" w:cs="宋体"/>
          <w:sz w:val="21"/>
          <w:szCs w:val="21"/>
        </w:rPr>
      </w:pPr>
      <w:r>
        <w:rPr>
          <w:rFonts w:hint="eastAsia" w:ascii="宋体" w:hAnsi="宋体" w:eastAsia="宋体" w:cs="宋体"/>
          <w:sz w:val="21"/>
          <w:szCs w:val="21"/>
        </w:rPr>
        <w:t xml:space="preserve">5、清单中货物如有国家强制性认证要求，必须提供相应认证证书或证明材料，未提供则视为无效标。</w:t>
      </w:r>
      <w:r/>
    </w:p>
    <w:p>
      <w:pPr>
        <w:ind w:firstLine="422"/>
        <w:spacing w:line="360" w:lineRule="auto"/>
        <w:tabs>
          <w:tab w:val="left" w:pos="420" w:leader="none"/>
        </w:tabs>
        <w:rPr>
          <w:rFonts w:ascii="宋体" w:hAnsi="宋体" w:eastAsia="宋体" w:cs="宋体"/>
          <w:b/>
          <w:sz w:val="21"/>
          <w:szCs w:val="21"/>
        </w:rPr>
      </w:pPr>
      <w:r>
        <w:rPr>
          <w:rFonts w:hint="eastAsia" w:ascii="宋体" w:hAnsi="宋体" w:eastAsia="宋体" w:cs="宋体"/>
          <w:b/>
          <w:sz w:val="21"/>
          <w:szCs w:val="21"/>
        </w:rPr>
        <w:t xml:space="preserve">八、关于对参与供应商信用记录的政府采购要求</w:t>
      </w:r>
      <w:r/>
    </w:p>
    <w:p>
      <w:pPr>
        <w:ind w:firstLine="420"/>
        <w:spacing w:line="360" w:lineRule="auto"/>
        <w:tabs>
          <w:tab w:val="left" w:pos="420" w:leader="none"/>
        </w:tabs>
        <w:rPr>
          <w:rFonts w:ascii="宋体" w:hAnsi="宋体" w:eastAsia="宋体" w:cs="宋体"/>
          <w:b/>
          <w:bCs/>
          <w:sz w:val="21"/>
          <w:szCs w:val="21"/>
        </w:rPr>
      </w:pPr>
      <w:r>
        <w:rPr>
          <w:rFonts w:hint="eastAsia" w:ascii="宋体" w:hAnsi="宋体" w:eastAsia="宋体" w:cs="宋体"/>
          <w:sz w:val="21"/>
          <w:szCs w:val="21"/>
        </w:rPr>
        <w:t xml:space="preserve">1、采购代理机构会在接收招标文件截止时间后，登录信用中国网站（www.creditchina.gov.cn/）和中国政府采购网（www.ccgp.gov.cn/）查询供应商的信用记录，并将查询结果递交评审小组。</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3、供应商若在经营活动中受到罚款的，请携带相关地方、部门对较大数额认定标准的证明材料，与招标文件一并提交。若无法提供，则可能承担响应无效等相应不利后果。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4、对存在失信信息的供应商，采购代理机构工作人员应根据评审小组确认的失信信息，登陆到相关来源网站页面进行复核并打印，作为证据留存。</w:t>
      </w:r>
      <w:r/>
    </w:p>
    <w:p>
      <w:pPr>
        <w:pStyle w:val="713"/>
        <w:ind w:firstLine="422"/>
        <w:rPr>
          <w:rFonts w:ascii="宋体" w:hAnsi="宋体" w:eastAsia="宋体" w:cs="宋体"/>
          <w:b/>
          <w:sz w:val="21"/>
          <w:szCs w:val="21"/>
        </w:rPr>
      </w:pPr>
      <w:r>
        <w:rPr>
          <w:rFonts w:hint="eastAsia" w:ascii="宋体" w:hAnsi="宋体" w:eastAsia="宋体" w:cs="宋体"/>
          <w:b/>
          <w:sz w:val="21"/>
          <w:szCs w:val="21"/>
        </w:rPr>
        <w:t xml:space="preserve">九、凡涉及招标文件的补充说明和修改，均以苏州市政府采购网等发布的最新信息为准。</w:t>
      </w:r>
      <w:bookmarkEnd w:id="44"/>
      <w:r/>
      <w:r/>
    </w:p>
    <w:p>
      <w:pPr>
        <w:jc w:val="center"/>
        <w:spacing w:line="360" w:lineRule="auto"/>
        <w:rPr>
          <w:rFonts w:ascii="宋体" w:hAnsi="宋体" w:eastAsia="宋体"/>
          <w:b/>
          <w:bCs/>
          <w:sz w:val="44"/>
          <w:szCs w:val="44"/>
        </w:rPr>
        <w:outlineLvl w:val="0"/>
      </w:pPr>
      <w:r>
        <w:rPr>
          <w:rFonts w:hint="eastAsia" w:ascii="宋体" w:hAnsi="宋体" w:eastAsia="宋体"/>
          <w:b/>
          <w:sz w:val="32"/>
          <w:szCs w:val="32"/>
        </w:rPr>
        <w:br w:type="page" w:clear="all"/>
      </w:r>
      <w:bookmarkStart w:id="68" w:name="_Toc35951275"/>
      <w:r/>
      <w:bookmarkStart w:id="69" w:name="_Toc488677788"/>
      <w:r/>
      <w:bookmarkStart w:id="70" w:name="_Toc501527304"/>
      <w:r>
        <w:rPr>
          <w:rFonts w:hint="eastAsia" w:ascii="宋体" w:hAnsi="宋体" w:eastAsia="宋体"/>
          <w:b/>
          <w:sz w:val="32"/>
          <w:szCs w:val="32"/>
        </w:rPr>
        <w:t xml:space="preserve">第五章 合同主要条款</w:t>
      </w:r>
      <w:bookmarkEnd w:id="68"/>
      <w:r/>
      <w:bookmarkEnd w:id="69"/>
      <w:r/>
      <w:r/>
    </w:p>
    <w:tbl>
      <w:tblPr>
        <w:tblW w:w="0" w:type="dxa"/>
        <w:jc w:val="center"/>
        <w:tblLayout w:type="fixed"/>
        <w:tblLook w:val="04A0" w:firstRow="1" w:lastRow="0" w:firstColumn="1" w:lastColumn="0" w:noHBand="0" w:noVBand="1"/>
      </w:tblPr>
      <w:tblGrid>
        <w:gridCol w:w="4746"/>
        <w:gridCol w:w="4927"/>
      </w:tblGrid>
      <w:tr>
        <w:trPr>
          <w:jc w:val="center"/>
          <w:trHeight w:val="397"/>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rPr>
                <w:rFonts w:ascii="宋体" w:hAnsi="宋体" w:eastAsia="宋体" w:cs="宋体"/>
                <w:sz w:val="24"/>
                <w:szCs w:val="24"/>
              </w:rPr>
            </w:pPr>
            <w:r>
              <w:rPr>
                <w:rFonts w:hint="eastAsia" w:ascii="宋体" w:hAnsi="宋体" w:eastAsia="宋体" w:cs="宋体"/>
                <w:sz w:val="21"/>
                <w:szCs w:val="22"/>
              </w:rPr>
              <w:t xml:space="preserve">甲方（采购人）：</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rPr>
                <w:rFonts w:ascii="宋体" w:hAnsi="宋体" w:eastAsia="宋体" w:cs="宋体"/>
                <w:sz w:val="24"/>
                <w:szCs w:val="24"/>
              </w:rPr>
            </w:pPr>
            <w:r>
              <w:rPr>
                <w:rFonts w:hint="eastAsia" w:ascii="宋体" w:hAnsi="宋体" w:eastAsia="宋体" w:cs="宋体"/>
                <w:sz w:val="21"/>
                <w:szCs w:val="22"/>
              </w:rPr>
              <w:t xml:space="preserve">单位地址：</w:t>
            </w:r>
            <w:r/>
          </w:p>
        </w:tc>
      </w:tr>
      <w:tr>
        <w:trPr>
          <w:jc w:val="center"/>
          <w:trHeight w:val="397"/>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rPr>
                <w:rFonts w:ascii="宋体" w:hAnsi="宋体" w:eastAsia="宋体" w:cs="宋体"/>
                <w:sz w:val="24"/>
                <w:szCs w:val="24"/>
              </w:rPr>
            </w:pPr>
            <w:r>
              <w:rPr>
                <w:rFonts w:hint="eastAsia" w:ascii="宋体" w:hAnsi="宋体" w:eastAsia="宋体" w:cs="宋体"/>
                <w:sz w:val="21"/>
                <w:szCs w:val="22"/>
              </w:rPr>
              <w:t xml:space="preserve">乙方（供应商）：</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rPr>
                <w:rFonts w:ascii="宋体" w:hAnsi="宋体" w:eastAsia="宋体" w:cs="宋体"/>
                <w:sz w:val="24"/>
                <w:szCs w:val="24"/>
              </w:rPr>
            </w:pPr>
            <w:r>
              <w:rPr>
                <w:rFonts w:hint="eastAsia" w:ascii="宋体" w:hAnsi="宋体" w:eastAsia="宋体" w:cs="宋体"/>
                <w:sz w:val="21"/>
                <w:szCs w:val="22"/>
              </w:rPr>
              <w:t xml:space="preserve">单位地址：</w:t>
            </w:r>
            <w:r/>
          </w:p>
        </w:tc>
      </w:tr>
      <w:tr>
        <w:trPr>
          <w:jc w:val="center"/>
          <w:trHeight w:val="397"/>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rPr>
                <w:rFonts w:ascii="宋体" w:hAnsi="宋体" w:eastAsia="宋体" w:cs="宋体"/>
                <w:sz w:val="24"/>
                <w:szCs w:val="24"/>
              </w:rPr>
            </w:pPr>
            <w:r>
              <w:rPr>
                <w:rFonts w:hint="eastAsia" w:ascii="宋体" w:hAnsi="宋体" w:eastAsia="宋体" w:cs="宋体"/>
                <w:sz w:val="21"/>
                <w:szCs w:val="22"/>
              </w:rPr>
              <w:t xml:space="preserve">签订日期：</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rPr>
                <w:rFonts w:ascii="宋体" w:hAnsi="宋体" w:eastAsia="宋体" w:cs="宋体"/>
                <w:sz w:val="24"/>
                <w:szCs w:val="24"/>
              </w:rPr>
            </w:pPr>
            <w:r>
              <w:rPr>
                <w:rFonts w:hint="eastAsia" w:ascii="宋体" w:hAnsi="宋体" w:eastAsia="宋体" w:cs="宋体"/>
                <w:sz w:val="21"/>
                <w:szCs w:val="22"/>
              </w:rPr>
              <w:t xml:space="preserve">签订地点：</w:t>
            </w:r>
            <w:r/>
          </w:p>
        </w:tc>
      </w:tr>
    </w:tbl>
    <w:p>
      <w:pPr>
        <w:ind w:firstLine="420"/>
        <w:spacing w:line="360" w:lineRule="auto"/>
        <w:rPr>
          <w:rFonts w:ascii="宋体" w:hAnsi="宋体" w:eastAsia="宋体" w:cs="宋体"/>
          <w:sz w:val="21"/>
          <w:szCs w:val="21"/>
        </w:rPr>
      </w:pPr>
      <w:r/>
      <w:bookmarkStart w:id="71" w:name="_Toc35951276"/>
      <w:r>
        <w:rPr>
          <w:rFonts w:hint="eastAsia" w:ascii="宋体" w:hAnsi="宋体" w:eastAsia="宋体" w:cs="宋体"/>
          <w:sz w:val="21"/>
          <w:szCs w:val="21"/>
        </w:rPr>
        <w:t xml:space="preserve">根据采购编号</w:t>
      </w:r>
      <w:r>
        <w:rPr>
          <w:rFonts w:ascii="宋体" w:hAnsi="宋体" w:eastAsia="宋体" w:cs="宋体"/>
          <w:sz w:val="21"/>
          <w:szCs w:val="21"/>
          <w:u w:val="single"/>
        </w:rPr>
        <w:t xml:space="preserve">                    </w:t>
      </w:r>
      <w:r>
        <w:rPr>
          <w:rFonts w:hint="eastAsia" w:ascii="宋体" w:hAnsi="宋体" w:eastAsia="宋体" w:cs="宋体"/>
          <w:sz w:val="21"/>
          <w:szCs w:val="21"/>
        </w:rPr>
        <w:t xml:space="preserve">号招标文件及中标通知书，甲乙双方就此次中标的</w:t>
      </w:r>
      <w:r>
        <w:rPr>
          <w:rFonts w:hint="eastAsia" w:ascii="宋体" w:hAnsi="宋体" w:eastAsia="宋体"/>
          <w:sz w:val="21"/>
          <w:u w:val="single"/>
        </w:rPr>
        <w:t xml:space="preserve">黄埭镇东桥消防救援站消防装备采购</w:t>
      </w:r>
      <w:r>
        <w:rPr>
          <w:rFonts w:hint="eastAsia" w:ascii="宋体" w:hAnsi="宋体" w:eastAsia="宋体" w:cs="宋体"/>
          <w:sz w:val="21"/>
          <w:szCs w:val="21"/>
        </w:rPr>
        <w:t xml:space="preserve">事宜，签订本合同书。</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合同标的物和合同价格</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7"/>
        <w:gridCol w:w="1701"/>
        <w:gridCol w:w="2390"/>
        <w:gridCol w:w="1134"/>
        <w:gridCol w:w="1134"/>
        <w:gridCol w:w="1134"/>
        <w:gridCol w:w="1134"/>
      </w:tblGrid>
      <w:tr>
        <w:trPr>
          <w:jc w:val="center"/>
          <w:trHeight w:val="652"/>
        </w:trPr>
        <w:tc>
          <w:tcPr>
            <w:tcW w:w="1047"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W w:w="170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名称</w:t>
            </w:r>
            <w:r/>
          </w:p>
        </w:tc>
        <w:tc>
          <w:tcPr>
            <w:tcW w:w="2390"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品牌、规格、型号</w:t>
            </w:r>
            <w:r/>
          </w:p>
        </w:tc>
        <w:tc>
          <w:tcPr>
            <w:tcW w:w="113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单位</w:t>
            </w:r>
            <w:r/>
          </w:p>
        </w:tc>
        <w:tc>
          <w:tcPr>
            <w:tcW w:w="113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数量</w:t>
            </w:r>
            <w:r/>
          </w:p>
        </w:tc>
        <w:tc>
          <w:tcPr>
            <w:tcW w:w="1134" w:type="dxa"/>
            <w:vAlign w:val="center"/>
            <w:textDirection w:val="lrTb"/>
            <w:noWrap w:val="false"/>
          </w:tcPr>
          <w:p>
            <w:pPr>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单价</w:t>
            </w:r>
            <w:r/>
          </w:p>
        </w:tc>
        <w:tc>
          <w:tcPr>
            <w:tcW w:w="1134" w:type="dxa"/>
            <w:vAlign w:val="center"/>
            <w:textDirection w:val="lrTb"/>
            <w:noWrap w:val="false"/>
          </w:tcPr>
          <w:p>
            <w:pPr>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合价</w:t>
            </w:r>
            <w:r/>
          </w:p>
        </w:tc>
      </w:tr>
      <w:tr>
        <w:trPr>
          <w:jc w:val="center"/>
          <w:trHeight w:val="494"/>
        </w:trPr>
        <w:tc>
          <w:tcPr>
            <w:tcW w:w="1047"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701"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2390"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val="false"/>
          </w:tcPr>
          <w:p>
            <w:pPr>
              <w:jc w:val="center"/>
              <w:spacing w:line="360" w:lineRule="auto"/>
              <w:widowControl/>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val="false"/>
          </w:tcPr>
          <w:p>
            <w:pPr>
              <w:jc w:val="center"/>
              <w:spacing w:line="360" w:lineRule="auto"/>
              <w:widowControl/>
              <w:rPr>
                <w:rFonts w:ascii="宋体" w:hAnsi="宋体" w:eastAsia="宋体" w:cs="宋体"/>
                <w:sz w:val="21"/>
                <w:szCs w:val="21"/>
              </w:rPr>
            </w:pPr>
            <w:r>
              <w:rPr>
                <w:rFonts w:ascii="宋体" w:hAnsi="宋体" w:eastAsia="宋体" w:cs="宋体"/>
                <w:sz w:val="21"/>
                <w:szCs w:val="21"/>
              </w:rPr>
            </w:r>
            <w:r/>
          </w:p>
        </w:tc>
      </w:tr>
      <w:tr>
        <w:trPr>
          <w:jc w:val="center"/>
          <w:trHeight w:val="494"/>
        </w:trPr>
        <w:tc>
          <w:tcPr>
            <w:tcW w:w="1047"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w:t>
            </w:r>
            <w:r/>
          </w:p>
        </w:tc>
        <w:tc>
          <w:tcPr>
            <w:tcW w:w="1701"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2390"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val="false"/>
          </w:tcPr>
          <w:p>
            <w:pPr>
              <w:jc w:val="center"/>
              <w:spacing w:line="360" w:lineRule="auto"/>
              <w:widowControl/>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val="false"/>
          </w:tcPr>
          <w:p>
            <w:pPr>
              <w:jc w:val="center"/>
              <w:spacing w:line="360" w:lineRule="auto"/>
              <w:widowControl/>
              <w:rPr>
                <w:rFonts w:ascii="宋体" w:hAnsi="宋体" w:eastAsia="宋体" w:cs="宋体"/>
                <w:sz w:val="21"/>
                <w:szCs w:val="21"/>
              </w:rPr>
            </w:pPr>
            <w:r>
              <w:rPr>
                <w:rFonts w:ascii="宋体" w:hAnsi="宋体" w:eastAsia="宋体" w:cs="宋体"/>
                <w:sz w:val="21"/>
                <w:szCs w:val="21"/>
              </w:rPr>
            </w:r>
            <w:r/>
          </w:p>
        </w:tc>
      </w:tr>
      <w:tr>
        <w:trPr>
          <w:jc w:val="center"/>
          <w:trHeight w:val="494"/>
        </w:trPr>
        <w:tc>
          <w:tcPr>
            <w:gridSpan w:val="7"/>
            <w:tcW w:w="9674" w:type="dxa"/>
            <w:vAlign w:val="center"/>
            <w:textDirection w:val="lrTb"/>
            <w:noWrap w:val="false"/>
          </w:tcPr>
          <w:p>
            <w:pPr>
              <w:spacing w:line="360" w:lineRule="auto"/>
              <w:widowControl/>
              <w:rPr>
                <w:rFonts w:ascii="宋体" w:hAnsi="宋体" w:eastAsia="宋体" w:cs="宋体"/>
                <w:sz w:val="21"/>
                <w:szCs w:val="21"/>
              </w:rPr>
            </w:pPr>
            <w:r>
              <w:rPr>
                <w:rFonts w:hint="eastAsia" w:ascii="宋体" w:hAnsi="宋体" w:eastAsia="宋体" w:cs="宋体"/>
                <w:sz w:val="21"/>
                <w:szCs w:val="21"/>
              </w:rPr>
              <w:t xml:space="preserve">合同价格（大写）人民币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圆整；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.00）</w:t>
            </w:r>
            <w:r/>
          </w:p>
        </w:tc>
      </w:tr>
    </w:tbl>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本合同价格包括所有上述标的物和服务、配件、辅材以及相关的备件、专用工具、运输、装卸、人工、安装、调试、培训、保险、检验、技术支持、验收、利润、税金、政策性文件规定及合同包含的所有风险、责任等各项应有费用。</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根据现行税法对甲方征收的与本合同有关的一切税费均由甲方承担；根据现行税法对乙方征收的与本合同有关的一切税费均由乙方承担。</w:t>
      </w:r>
      <w:r/>
    </w:p>
    <w:p>
      <w:pPr>
        <w:numPr>
          <w:ilvl w:val="0"/>
          <w:numId w:val="8"/>
        </w:numPr>
        <w:ind w:left="540" w:hanging="540"/>
        <w:spacing w:line="400" w:lineRule="atLeas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标的物交付</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sz w:val="21"/>
          <w:szCs w:val="21"/>
        </w:rPr>
        <w:t xml:space="preserve">供货期限：合同签订之日起三个月内交付完毕，具体以合同签订时间为准。</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交付地点：甲方指定地点。</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标的物的所有权自标的物交付时转移。</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0"/>
          <w:numId w:val="8"/>
        </w:numPr>
        <w:ind w:left="540" w:hanging="540"/>
        <w:spacing w:line="400" w:lineRule="atLeas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技术规范</w:t>
      </w:r>
      <w:r/>
    </w:p>
    <w:p>
      <w:pPr>
        <w:numPr>
          <w:ilvl w:val="1"/>
          <w:numId w:val="8"/>
        </w:numPr>
        <w:ind w:left="540" w:hanging="540"/>
        <w:spacing w:line="400" w:lineRule="atLeast"/>
        <w:tabs>
          <w:tab w:val="left" w:pos="540" w:leader="none"/>
        </w:tabs>
        <w:rPr>
          <w:rFonts w:ascii="宋体" w:hAnsi="宋体" w:eastAsia="宋体" w:cs="宋体"/>
          <w:iCs/>
          <w:sz w:val="21"/>
          <w:szCs w:val="21"/>
          <w:u w:val="single"/>
        </w:rPr>
      </w:pPr>
      <w:r>
        <w:rPr>
          <w:rFonts w:hint="eastAsia" w:ascii="宋体" w:hAnsi="宋体" w:eastAsia="宋体" w:cs="宋体"/>
          <w:sz w:val="21"/>
          <w:szCs w:val="21"/>
        </w:rPr>
        <w:t xml:space="preserve">所提供货物的生产、制造、安装等各项技术标准，应当符合国家（强制性）标准、各项规范要求；国家没有相应标准、规范的，可使用行业标准、规定；非标设备按招标约定的技术要求和规范。</w:t>
      </w:r>
      <w:r/>
    </w:p>
    <w:p>
      <w:pPr>
        <w:numPr>
          <w:ilvl w:val="0"/>
          <w:numId w:val="8"/>
        </w:numPr>
        <w:ind w:left="540" w:hanging="540"/>
        <w:spacing w:line="400" w:lineRule="atLeas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质量要求</w:t>
      </w:r>
      <w:r/>
    </w:p>
    <w:p>
      <w:pPr>
        <w:numPr>
          <w:ilvl w:val="1"/>
          <w:numId w:val="8"/>
        </w:numPr>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乙方应保证所供标的物是全新的，未使用过的、性能良好、符合环保的、 原装、原产、合法、正规途径的货物，并且是非长期积压的库存商品，完全符合采购设备规定的质量、规格和性能的要求，严禁提供假冒、伪劣或非正规途径之产品。产品配置必须原厂出厂时全部自带，所有设备外包装箱不得自行拆封，包装箱上所有标签等不得涂改或撕毁，除有特殊要求外，其余均为标准配置，否则甲方有权拒绝验收。乙方应保证其提供的标的物在正确安装、正常使用和保养条件下，在其标称的</w:t>
      </w:r>
      <w:r>
        <w:rPr>
          <w:rFonts w:hint="eastAsia" w:ascii="宋体" w:hAnsi="宋体" w:eastAsia="宋体" w:cs="宋体"/>
          <w:sz w:val="21"/>
          <w:szCs w:val="21"/>
        </w:rPr>
        <w:t xml:space="preserve">使用寿命期内应具有满意的性能。</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p>
    <w:p>
      <w:pPr>
        <w:numPr>
          <w:ilvl w:val="0"/>
          <w:numId w:val="8"/>
        </w:numPr>
        <w:ind w:left="540" w:hanging="540"/>
        <w:spacing w:line="400" w:lineRule="atLeas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保密</w:t>
      </w:r>
      <w:r/>
    </w:p>
    <w:p>
      <w:pPr>
        <w:ind w:left="567"/>
        <w:spacing w:line="400" w:lineRule="atLeast"/>
        <w:rPr>
          <w:rFonts w:ascii="宋体" w:hAnsi="宋体" w:eastAsia="宋体"/>
          <w:sz w:val="21"/>
          <w:szCs w:val="21"/>
        </w:rPr>
      </w:pPr>
      <w:r>
        <w:rPr>
          <w:rFonts w:hint="eastAsia" w:ascii="宋体" w:hAnsi="宋体" w:eastAsia="宋体"/>
          <w:sz w:val="21"/>
          <w:szCs w:val="21"/>
        </w:rPr>
        <w:t xml:space="preserve">乙方及其专业人员应当遵守保密原则，对因订立和执行本合同过程中所了解或知悉或获取的对方的一切信息、国家秘密、商业秘密和个人隐私予以保密，在本合同服务期内及本合同解除或终止后均不得向甲方以外的第三方提供保密信息，除非得到甲方的同意或者属于法律、行政法规允许的范围。</w:t>
      </w:r>
      <w:r/>
    </w:p>
    <w:p>
      <w:pPr>
        <w:numPr>
          <w:ilvl w:val="0"/>
          <w:numId w:val="8"/>
        </w:numPr>
        <w:ind w:left="540" w:hanging="540"/>
        <w:spacing w:line="400" w:lineRule="atLeas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验收</w:t>
      </w:r>
      <w:r/>
    </w:p>
    <w:p>
      <w:pPr>
        <w:numPr>
          <w:ilvl w:val="1"/>
          <w:numId w:val="8"/>
        </w:numPr>
        <w:ind w:left="540" w:hanging="540"/>
        <w:spacing w:line="44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验收标准：乙方提供的货物必须符合我国最新颁布的与之相关的技术规范与标准，同时必须满足招标文件中所列规格、具体配置、技术条件及功能要求和乙方承诺的其它指标及其他内容。</w:t>
      </w:r>
      <w:r/>
    </w:p>
    <w:p>
      <w:pPr>
        <w:numPr>
          <w:ilvl w:val="1"/>
          <w:numId w:val="8"/>
        </w:numPr>
        <w:ind w:left="540" w:hanging="540"/>
        <w:spacing w:line="44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根据甲方验收结果，或者在质量保证期内，如果标的物的数量、质量或规格与合同不符或证实标的物是具有缺陷的，包括潜在缺陷或使用不符合要求的材料等，甲方应尽快以书面形式通知乙方并提出索赔。</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验收期限在安装调试结束后六个月内进行。特殊情况需延长的，双方应特别约定。</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验收规范应由乙方在验收前两周提交给甲方，甲方可根据合同及技术规范书和有关规定进行修改和补充。验收规范需要由甲乙双方确认，确认后形成验收文件作为验收依据。</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验收结果经双方确认后，双方代表须按规定的验收项目对照本合同填好验收结果并签名盖章。</w:t>
      </w:r>
      <w:r/>
    </w:p>
    <w:p>
      <w:pPr>
        <w:numPr>
          <w:ilvl w:val="0"/>
          <w:numId w:val="8"/>
        </w:numPr>
        <w:ind w:left="540" w:hanging="540"/>
        <w:spacing w:line="400" w:lineRule="atLeas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质保期</w:t>
      </w:r>
      <w:r/>
    </w:p>
    <w:p>
      <w:pPr>
        <w:ind w:left="567"/>
        <w:spacing w:line="400" w:lineRule="atLeast"/>
        <w:rPr>
          <w:rFonts w:ascii="宋体" w:hAnsi="宋体" w:eastAsia="宋体"/>
          <w:sz w:val="21"/>
          <w:szCs w:val="21"/>
        </w:rPr>
      </w:pPr>
      <w:r>
        <w:rPr>
          <w:rFonts w:hint="eastAsia" w:ascii="宋体" w:hAnsi="宋体" w:eastAsia="宋体"/>
          <w:sz w:val="21"/>
          <w:szCs w:val="21"/>
        </w:rPr>
        <w:t xml:space="preserve">本项目质保期自验收合格起</w:t>
      </w:r>
      <w:r>
        <w:rPr>
          <w:rFonts w:hint="eastAsia" w:ascii="宋体" w:hAnsi="宋体" w:eastAsia="宋体"/>
          <w:b/>
          <w:sz w:val="21"/>
          <w:szCs w:val="21"/>
        </w:rPr>
        <w:t xml:space="preserve"> </w:t>
      </w:r>
      <w:r>
        <w:rPr>
          <w:rFonts w:ascii="宋体" w:hAnsi="宋体" w:eastAsia="宋体"/>
          <w:b/>
          <w:sz w:val="21"/>
          <w:szCs w:val="21"/>
        </w:rPr>
        <w:t xml:space="preserve">   </w:t>
      </w:r>
      <w:r>
        <w:rPr>
          <w:rFonts w:hint="eastAsia" w:ascii="宋体" w:hAnsi="宋体" w:eastAsia="宋体"/>
          <w:b/>
          <w:sz w:val="21"/>
          <w:szCs w:val="21"/>
        </w:rPr>
        <w:t xml:space="preserve">年</w:t>
      </w:r>
      <w:r>
        <w:rPr>
          <w:rFonts w:hint="eastAsia" w:ascii="宋体" w:hAnsi="宋体" w:eastAsia="宋体"/>
          <w:sz w:val="21"/>
          <w:szCs w:val="21"/>
        </w:rPr>
        <w:t xml:space="preserve">。在质保期内，应无偿并迅速更换由于元器件缺陷及工艺等问题而发生故障的产品，并对因维修、保养，更换零部件等所发生的一切费用，均由乙方承担。在期间如发生影响系统运行的重大故障，质保期应为故障排除之日起重新计算。质保期满后，应提供优先的有偿售后服务及按不高于投标文件中主要配件、易损件清单所报价格供应原厂零配件等。软件终身免费升级、免费使用。</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合同价格支付</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支付步骤：</w:t>
      </w:r>
      <w:r/>
    </w:p>
    <w:p>
      <w:pPr>
        <w:ind w:left="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合同签订后，甲方支付乙方合同总价款的3</w:t>
      </w:r>
      <w:r>
        <w:rPr>
          <w:rFonts w:ascii="宋体" w:hAnsi="宋体" w:eastAsia="宋体" w:cs="宋体"/>
          <w:sz w:val="21"/>
          <w:szCs w:val="21"/>
        </w:rPr>
        <w:t xml:space="preserve">0</w:t>
      </w:r>
      <w:r>
        <w:rPr>
          <w:rFonts w:hint="eastAsia" w:ascii="宋体" w:hAnsi="宋体" w:eastAsia="宋体" w:cs="宋体"/>
          <w:sz w:val="21"/>
          <w:szCs w:val="21"/>
        </w:rPr>
        <w:t xml:space="preserve">%作为预付款，乙方货到且安装调试完毕设备可正常运行且项目整体全部验收合格后，甲方支付至合同总价款的80%，甲方于项目整体验收合格一年内一次性付清剩余款项。</w:t>
      </w:r>
      <w:r/>
    </w:p>
    <w:p>
      <w:pPr>
        <w:ind w:left="540"/>
        <w:spacing w:line="400" w:lineRule="atLeast"/>
        <w:tabs>
          <w:tab w:val="left" w:pos="540" w:leader="none"/>
          <w:tab w:val="left" w:pos="567" w:leader="none"/>
        </w:tabs>
      </w:pPr>
      <w:r>
        <w:rPr>
          <w:rFonts w:hint="eastAsia" w:ascii="宋体" w:hAnsi="宋体" w:eastAsia="宋体" w:cs="宋体"/>
          <w:sz w:val="21"/>
          <w:szCs w:val="21"/>
        </w:rPr>
        <w:t xml:space="preserve">注：在签订合同时，乙方明确表示无需预付款或者主动要求降低预付款比例的，甲方无需支付</w:t>
      </w:r>
      <w:r>
        <w:rPr>
          <w:rFonts w:ascii="宋体" w:hAnsi="宋体" w:eastAsia="宋体" w:cs="宋体"/>
          <w:sz w:val="21"/>
          <w:szCs w:val="21"/>
        </w:rPr>
        <w:t xml:space="preserve">3</w:t>
      </w:r>
      <w:r>
        <w:rPr>
          <w:rFonts w:hint="eastAsia" w:ascii="宋体" w:hAnsi="宋体" w:eastAsia="宋体" w:cs="宋体"/>
          <w:sz w:val="21"/>
          <w:szCs w:val="21"/>
        </w:rPr>
        <w:t xml:space="preserve">0%的预付款。</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支付方式：转账。</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乙方需提供的单据：</w:t>
      </w:r>
      <w:r/>
    </w:p>
    <w:p>
      <w:pPr>
        <w:ind w:left="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A、合格的发票；</w:t>
      </w:r>
      <w:r/>
    </w:p>
    <w:p>
      <w:pPr>
        <w:ind w:left="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B、合同履行验收报告；</w:t>
      </w:r>
      <w:r/>
    </w:p>
    <w:p>
      <w:pPr>
        <w:ind w:left="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C、其他（若有）。</w:t>
      </w:r>
      <w:r/>
    </w:p>
    <w:p>
      <w:pPr>
        <w:numPr>
          <w:ilvl w:val="1"/>
          <w:numId w:val="8"/>
        </w:numPr>
        <w:ind w:left="540" w:hanging="540"/>
        <w:spacing w:line="400" w:lineRule="atLeast"/>
        <w:tabs>
          <w:tab w:val="left" w:pos="540" w:leader="none"/>
        </w:tabs>
        <w:rPr>
          <w:rFonts w:ascii="宋体" w:hAnsi="宋体" w:eastAsia="宋体" w:cs="宋体"/>
          <w:sz w:val="21"/>
          <w:szCs w:val="21"/>
        </w:rPr>
      </w:pPr>
      <w:r>
        <w:rPr>
          <w:rFonts w:hint="eastAsia" w:ascii="宋体" w:hAnsi="宋体" w:eastAsia="宋体" w:cs="宋体"/>
          <w:sz w:val="21"/>
          <w:szCs w:val="21"/>
        </w:rPr>
        <w:t xml:space="preserve">乙方账户信息：</w:t>
      </w:r>
      <w:r/>
    </w:p>
    <w:p>
      <w:pPr>
        <w:ind w:left="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户名：</w:t>
      </w:r>
      <w:r/>
    </w:p>
    <w:p>
      <w:pPr>
        <w:ind w:left="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开户行：</w:t>
      </w:r>
      <w:r/>
    </w:p>
    <w:p>
      <w:pPr>
        <w:ind w:left="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账号：</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对标的物货物提出异议的时间和办法</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甲方在验收过程中，应当于双方约定的检验期间内将标的物的数量或质量不符合约定的情况及处理方式以书面方式通知乙方。</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如果甲方在验收期满后既没有出具验收合格证明又未提出书面异议的视为乙方所交标的物符合合同规定。</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乙方应在收到甲方书面异议后七天内负责解决问题，否则将视为默认甲方提出的异议和处理意见。</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售后服务</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除特别约定外，合同条款中标的物的质量保证期均自标的物通过最终验收之日起计算，且质量保证期为乙方承诺期限，乙方承诺对本项目提供</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年的质保服务。</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乙方应以优良的服务态度，在质保期内发生故障时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小时内予以响应，</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小时内到达现场，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小时内解决问题，如在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小时内不能解决问题，应免费用同样品牌、规格或更高的部件更换到位。</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其它按乙方投标文件及相关承诺中等同或优于招标文件的要求执行。</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违约责任 </w:t>
      </w:r>
      <w:r/>
    </w:p>
    <w:p>
      <w:pPr>
        <w:ind w:left="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乙方违约责任及违约金支付：</w:t>
      </w:r>
      <w:r/>
    </w:p>
    <w:p>
      <w:pPr>
        <w:ind w:right="-153" w:firstLine="420"/>
        <w:spacing w:line="400" w:lineRule="exact"/>
        <w:tabs>
          <w:tab w:val="left" w:pos="567" w:leader="none"/>
        </w:tabs>
        <w:rPr>
          <w:rFonts w:ascii="宋体" w:hAnsi="宋体" w:eastAsia="宋体"/>
          <w:sz w:val="21"/>
          <w:szCs w:val="21"/>
        </w:rPr>
      </w:pPr>
      <w:r>
        <w:rPr>
          <w:rFonts w:hint="eastAsia" w:ascii="宋体" w:hAnsi="宋体" w:eastAsia="宋体"/>
          <w:sz w:val="21"/>
          <w:szCs w:val="21"/>
        </w:rPr>
        <w:t xml:space="preserve">（1）乙方不能交货（逾期超过十五天视为不能交货），或交货不合格从而影响甲方按期正常使用的，甲方有权要求乙方赔偿损失，并追究乙方合同总标的额百分之二十的违约金，且甲方有权解除合同。</w:t>
      </w:r>
      <w:r/>
    </w:p>
    <w:p>
      <w:pPr>
        <w:ind w:right="-153" w:firstLine="420"/>
        <w:spacing w:line="400" w:lineRule="exact"/>
        <w:tabs>
          <w:tab w:val="left" w:pos="993" w:leader="none"/>
        </w:tabs>
        <w:rPr>
          <w:rFonts w:ascii="宋体" w:hAnsi="宋体" w:eastAsia="宋体"/>
          <w:sz w:val="21"/>
          <w:szCs w:val="21"/>
        </w:rPr>
      </w:pPr>
      <w:r>
        <w:rPr>
          <w:rFonts w:hint="eastAsia" w:ascii="宋体" w:hAnsi="宋体" w:eastAsia="宋体"/>
          <w:sz w:val="21"/>
          <w:szCs w:val="21"/>
        </w:rPr>
        <w:t xml:space="preserve">（2）乙方逾期交货的，应在发货前与甲方和政府采购管理部门协商，甲方仍需求的，乙方应立即发货并应按照逾期交货部分货款的每天万分之四支付逾期交货违约金，并赔偿甲方因此遭致的损失费用。</w:t>
      </w:r>
      <w:r/>
    </w:p>
    <w:p>
      <w:pPr>
        <w:ind w:right="-153" w:firstLine="420"/>
        <w:spacing w:line="400" w:lineRule="exact"/>
        <w:tabs>
          <w:tab w:val="left" w:pos="1134" w:leader="none"/>
        </w:tabs>
        <w:rPr>
          <w:rFonts w:ascii="宋体" w:hAnsi="宋体" w:eastAsia="宋体"/>
          <w:sz w:val="21"/>
          <w:szCs w:val="21"/>
        </w:rPr>
      </w:pPr>
      <w:r>
        <w:rPr>
          <w:rFonts w:hint="eastAsia" w:ascii="宋体" w:hAnsi="宋体" w:eastAsia="宋体"/>
          <w:sz w:val="21"/>
          <w:szCs w:val="21"/>
        </w:rPr>
        <w:t xml:space="preserve">（3）若乙方未遵守保密义务，出现泄漏甲方或第三方秘密的情形，甲方有权要求乙方赔偿损失，并追究乙方合同总标的额百分之二十的违约金，且甲方有权解除合同。情节严重涉及违法犯罪的，依法移交司法机关处理。</w:t>
      </w:r>
      <w:r/>
    </w:p>
    <w:p>
      <w:pPr>
        <w:ind w:right="-153" w:firstLine="420"/>
        <w:spacing w:line="400" w:lineRule="exact"/>
        <w:tabs>
          <w:tab w:val="left" w:pos="993" w:leader="none"/>
        </w:tabs>
        <w:rPr>
          <w:rFonts w:ascii="宋体" w:hAnsi="宋体" w:eastAsia="宋体"/>
          <w:sz w:val="21"/>
          <w:szCs w:val="21"/>
        </w:rPr>
      </w:pPr>
      <w:r>
        <w:rPr>
          <w:rFonts w:hint="eastAsia" w:ascii="宋体" w:hAnsi="宋体" w:eastAsia="宋体"/>
          <w:sz w:val="21"/>
          <w:szCs w:val="21"/>
        </w:rPr>
        <w:t xml:space="preserve">（4）若因乙方侵犯第三方知识产权，发生第三方诉讼、社会舆论或甲方信誉受损等情形，甲方有权要求乙方赔偿损失，并追究乙方合同总标的额百分之二十的违约金，且甲方有权解除合同。</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不可抗力</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因不可抗力不能履行合同的，根据不可抗力的影响，部分或者全部免除责任。但合同一方延迟履行后发生不可抗力的，不能免除责任。</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合同一方因不可抗力不能履行合同的，应当及时通知对方，以减轻可能给对方造成的损失，并应当在合理期限内提供证明。</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索赔</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甲方有权根据当地产品质量检验机构或其他有权部门出具的检验证书向乙方提出索赔。</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在本合同规定的检验期限和质量保证期内，如果乙方对甲方提出的索赔或差异有责任，则乙方应按甲方同意的下列一种或多种方式解决索赔事宜：</w:t>
      </w:r>
      <w:r/>
    </w:p>
    <w:p>
      <w:pPr>
        <w:ind w:right="-153" w:firstLine="42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numPr>
          <w:ilvl w:val="0"/>
          <w:numId w:val="9"/>
        </w:numPr>
        <w:ind w:right="-153"/>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根据标的物的低劣程度、损坏程度以及甲方遭受损失的数额，经双方协商确定标的物的价格。</w:t>
      </w:r>
      <w:r/>
    </w:p>
    <w:p>
      <w:pPr>
        <w:ind w:right="-153" w:firstLine="42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甲方提出索赔的书面材料应报政府采购管理部门备案；乙方同意的索赔方案应报政府采购管理部门审核。</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合同修改</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甲方和乙方都不得擅自变更本合同，但合同继续履行将损害国家和社会公共利益的除外。在合同履行中，甲方可以增加原中标货物的数量，但增加的总金额不得超过中标货物金额的10%。</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转让及分包</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政府采购合同的部分和全部都不得转让、分包。</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合同的解除</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有下列情形之一，合同一方可以解除合同：</w:t>
      </w:r>
      <w:r/>
    </w:p>
    <w:p>
      <w:pPr>
        <w:numPr>
          <w:ilvl w:val="0"/>
          <w:numId w:val="10"/>
        </w:numPr>
        <w:ind w:left="1080" w:right="-153" w:hanging="54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因不可抗力致使不能实现合同目的，未受不可抗力影响的一方有权解除合同；</w:t>
      </w:r>
      <w:r/>
    </w:p>
    <w:p>
      <w:pPr>
        <w:numPr>
          <w:ilvl w:val="0"/>
          <w:numId w:val="10"/>
        </w:numPr>
        <w:ind w:left="1080" w:right="-153" w:hanging="54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因合同一方违约导致合同不能履行，另一方有权解除合同。</w:t>
      </w:r>
      <w:r/>
    </w:p>
    <w:p>
      <w:pPr>
        <w:numPr>
          <w:ilvl w:val="0"/>
          <w:numId w:val="10"/>
        </w:numPr>
        <w:ind w:left="1080" w:right="-153" w:hanging="54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招标文件规定的其他可以解除合同的情形。</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有权解除合同的一方，应当在违约事实或不可抗力发生之后三十天内书面通知对方以主张解除合同，合同在书面通知到达对方时解除。</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争议解决办法</w:t>
      </w:r>
      <w:r/>
    </w:p>
    <w:p>
      <w:pPr>
        <w:ind w:firstLine="539"/>
        <w:spacing w:line="400" w:lineRule="exact"/>
        <w:rPr>
          <w:rFonts w:ascii="宋体" w:hAnsi="宋体" w:eastAsia="宋体" w:cs="宋体"/>
          <w:sz w:val="21"/>
          <w:szCs w:val="21"/>
        </w:rPr>
      </w:pPr>
      <w:r>
        <w:rPr>
          <w:rFonts w:hint="eastAsia" w:ascii="宋体" w:hAnsi="宋体" w:eastAsia="宋体" w:cs="宋体"/>
          <w:sz w:val="21"/>
          <w:szCs w:val="21"/>
        </w:rPr>
        <w:t xml:space="preserve">因本合同或与本合同有关的一切事项发生争议，由双方友好协商解决。协商不成的，任何一方均可选择以下方式解决：</w:t>
      </w:r>
      <w:r/>
    </w:p>
    <w:p>
      <w:pPr>
        <w:ind w:firstLine="539"/>
        <w:spacing w:line="400" w:lineRule="exact"/>
        <w:rPr>
          <w:rFonts w:ascii="宋体" w:hAnsi="宋体" w:eastAsia="宋体" w:cs="宋体"/>
          <w:sz w:val="21"/>
          <w:szCs w:val="21"/>
        </w:rPr>
      </w:pPr>
      <w:r>
        <w:rPr>
          <w:rFonts w:hint="eastAsia" w:ascii="宋体" w:hAnsi="宋体" w:eastAsia="宋体" w:cs="宋体"/>
          <w:sz w:val="21"/>
          <w:szCs w:val="21"/>
        </w:rPr>
        <w:t xml:space="preserve">向甲方所在地的人民法院起诉。</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合同生效及其他</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本合同经双方法定（授权）代表人签字（或盖章）并盖单位公章（合同章）后生效，并由政府采购监督管理部门备案。</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下列文件为本合同不可分割部分：</w:t>
      </w:r>
      <w:r/>
    </w:p>
    <w:p>
      <w:pPr>
        <w:numPr>
          <w:ilvl w:val="0"/>
          <w:numId w:val="11"/>
        </w:numPr>
        <w:ind w:left="1080" w:right="-153" w:hanging="54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中标通知书；</w:t>
      </w:r>
      <w:r/>
    </w:p>
    <w:p>
      <w:pPr>
        <w:numPr>
          <w:ilvl w:val="0"/>
          <w:numId w:val="11"/>
        </w:numPr>
        <w:ind w:left="1080" w:right="-153" w:hanging="54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乙方中标的投标书；</w:t>
      </w:r>
      <w:r/>
    </w:p>
    <w:p>
      <w:pPr>
        <w:numPr>
          <w:ilvl w:val="0"/>
          <w:numId w:val="11"/>
        </w:numPr>
        <w:ind w:left="1080" w:right="-153" w:hanging="54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招标文件；</w:t>
      </w:r>
      <w:r/>
    </w:p>
    <w:p>
      <w:pPr>
        <w:numPr>
          <w:ilvl w:val="0"/>
          <w:numId w:val="11"/>
        </w:numPr>
        <w:ind w:left="1080" w:right="-153" w:hanging="540"/>
        <w:spacing w:line="400" w:lineRule="exact"/>
        <w:tabs>
          <w:tab w:val="left" w:pos="1080" w:leader="none"/>
        </w:tabs>
        <w:rPr>
          <w:rFonts w:ascii="宋体" w:hAnsi="宋体" w:eastAsia="宋体" w:cs="宋体"/>
          <w:sz w:val="21"/>
          <w:szCs w:val="21"/>
        </w:rPr>
      </w:pPr>
      <w:r>
        <w:rPr>
          <w:rFonts w:hint="eastAsia" w:ascii="宋体" w:hAnsi="宋体" w:eastAsia="宋体" w:cs="宋体"/>
          <w:sz w:val="21"/>
          <w:szCs w:val="21"/>
        </w:rPr>
        <w:t xml:space="preserve">乙方在招投标过程中所作的其他承诺、声明、书面澄清等。</w:t>
      </w:r>
      <w:r/>
    </w:p>
    <w:p>
      <w:pPr>
        <w:numPr>
          <w:ilvl w:val="1"/>
          <w:numId w:val="8"/>
        </w:numPr>
        <w:ind w:left="540" w:hanging="540"/>
        <w:spacing w:line="400" w:lineRule="exact"/>
        <w:tabs>
          <w:tab w:val="left" w:pos="540" w:leader="none"/>
        </w:tabs>
        <w:rPr>
          <w:rFonts w:ascii="宋体" w:hAnsi="宋体" w:eastAsia="宋体" w:cs="宋体"/>
          <w:sz w:val="21"/>
          <w:szCs w:val="21"/>
        </w:rPr>
      </w:pPr>
      <w:r>
        <w:rPr>
          <w:rFonts w:hint="eastAsia" w:ascii="宋体" w:hAnsi="宋体" w:eastAsia="宋体" w:cs="宋体"/>
          <w:sz w:val="21"/>
          <w:szCs w:val="21"/>
        </w:rPr>
        <w:t xml:space="preserve">合同在执行过程中出现的未尽事宜，双方在不违背本合同和采购文件的原则下协商解决，协商结果以书面形式盖章记录在案，作为本合同的附件，与本合同具有同等效力，并提交苏州公正建设咨询房地产评估有限公司备存。</w:t>
      </w:r>
      <w:r/>
    </w:p>
    <w:p>
      <w:pPr>
        <w:numPr>
          <w:ilvl w:val="0"/>
          <w:numId w:val="8"/>
        </w:numPr>
        <w:ind w:left="540" w:hanging="540"/>
        <w:spacing w:line="400" w:lineRule="exact"/>
        <w:tabs>
          <w:tab w:val="left" w:pos="-180" w:leader="none"/>
        </w:tabs>
        <w:rPr>
          <w:rFonts w:ascii="宋体" w:hAnsi="宋体" w:eastAsia="宋体" w:cs="宋体"/>
          <w:b/>
          <w:sz w:val="21"/>
          <w:szCs w:val="21"/>
        </w:rPr>
      </w:pPr>
      <w:r>
        <w:rPr>
          <w:rFonts w:hint="eastAsia" w:ascii="宋体" w:hAnsi="宋体" w:eastAsia="宋体" w:cs="宋体"/>
          <w:b/>
          <w:sz w:val="21"/>
          <w:szCs w:val="21"/>
        </w:rPr>
        <w:t xml:space="preserve">未尽事宜</w:t>
      </w:r>
      <w:r/>
    </w:p>
    <w:p>
      <w:pPr>
        <w:ind w:firstLine="539"/>
        <w:spacing w:line="400" w:lineRule="exact"/>
        <w:rPr>
          <w:rFonts w:ascii="宋体" w:hAnsi="宋体" w:eastAsia="宋体" w:cs="宋体"/>
          <w:sz w:val="21"/>
          <w:szCs w:val="21"/>
        </w:rPr>
      </w:pPr>
      <w:r>
        <w:rPr>
          <w:rFonts w:hint="eastAsia" w:ascii="宋体" w:hAnsi="宋体" w:eastAsia="宋体" w:cs="宋体"/>
          <w:sz w:val="21"/>
          <w:szCs w:val="21"/>
        </w:rPr>
        <w:t xml:space="preserve">未尽事宜应按照《中华人民共和国民法典》、《中华人民共和国政府采购法》等相关法律法规之规定解释。</w:t>
      </w:r>
      <w:r/>
    </w:p>
    <w:p>
      <w:pPr>
        <w:numPr>
          <w:ilvl w:val="0"/>
          <w:numId w:val="8"/>
        </w:numPr>
        <w:ind w:left="540" w:hanging="540"/>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附则</w:t>
      </w:r>
      <w:r/>
    </w:p>
    <w:p>
      <w:pPr>
        <w:ind w:firstLine="539"/>
        <w:spacing w:line="400" w:lineRule="exact"/>
        <w:rPr>
          <w:rFonts w:ascii="宋体" w:hAnsi="宋体" w:eastAsia="宋体" w:cs="宋体"/>
          <w:bCs/>
          <w:sz w:val="21"/>
          <w:szCs w:val="21"/>
        </w:rPr>
      </w:pPr>
      <w:r>
        <w:rPr>
          <w:rFonts w:hint="eastAsia" w:ascii="宋体" w:hAnsi="宋体" w:eastAsia="宋体" w:cs="宋体"/>
          <w:bCs/>
          <w:sz w:val="21"/>
          <w:szCs w:val="21"/>
        </w:rPr>
        <w:t xml:space="preserve">本合同一式</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份，甲方执</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份，乙方执</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份，采购代理机构二份。</w:t>
      </w:r>
      <w:r/>
    </w:p>
    <w:p>
      <w:pPr>
        <w:rPr>
          <w:rFonts w:ascii="宋体" w:hAnsi="宋体" w:cs="宋体"/>
        </w:rPr>
      </w:pPr>
      <w:r>
        <w:rPr>
          <w:rFonts w:ascii="宋体" w:hAnsi="宋体" w:cs="宋体"/>
        </w:rPr>
      </w:r>
      <w:r/>
    </w:p>
    <w:p>
      <w:pPr>
        <w:ind w:firstLine="420"/>
        <w:spacing w:line="360" w:lineRule="auto"/>
        <w:tabs>
          <w:tab w:val="left" w:pos="540" w:leader="none"/>
        </w:tabs>
        <w:rPr>
          <w:rFonts w:ascii="宋体" w:hAnsi="宋体" w:eastAsia="宋体" w:cs="仿宋_GB2312"/>
          <w:bCs/>
          <w:sz w:val="21"/>
          <w:szCs w:val="21"/>
        </w:rPr>
      </w:pPr>
      <w:r>
        <w:rPr>
          <w:rFonts w:hint="eastAsia" w:ascii="宋体" w:hAnsi="宋体" w:eastAsia="宋体" w:cs="仿宋_GB2312"/>
          <w:bCs/>
          <w:sz w:val="21"/>
          <w:szCs w:val="21"/>
        </w:rPr>
        <w:t xml:space="preserve">甲方（盖章）：                           </w:t>
      </w:r>
      <w:r>
        <w:rPr>
          <w:rFonts w:hint="eastAsia" w:ascii="宋体" w:hAnsi="宋体" w:eastAsia="宋体" w:cs="仿宋_GB2312"/>
          <w:bCs/>
          <w:sz w:val="21"/>
          <w:szCs w:val="21"/>
        </w:rPr>
        <w:tab/>
        <w:t xml:space="preserve">乙方（盖章）：</w:t>
      </w:r>
      <w:r/>
    </w:p>
    <w:p>
      <w:pPr>
        <w:ind w:firstLine="420"/>
        <w:spacing w:line="360" w:lineRule="auto"/>
        <w:tabs>
          <w:tab w:val="left" w:pos="540" w:leader="none"/>
        </w:tabs>
        <w:rPr>
          <w:rFonts w:ascii="宋体" w:hAnsi="宋体" w:eastAsia="宋体" w:cs="仿宋_GB2312"/>
          <w:bCs/>
          <w:sz w:val="21"/>
          <w:szCs w:val="21"/>
        </w:rPr>
      </w:pPr>
      <w:r>
        <w:rPr>
          <w:rFonts w:hint="eastAsia" w:ascii="宋体" w:hAnsi="宋体" w:eastAsia="宋体" w:cs="仿宋_GB2312"/>
          <w:bCs/>
          <w:sz w:val="21"/>
          <w:szCs w:val="21"/>
        </w:rPr>
        <w:t xml:space="preserve">法定（授权）代表人（签字）：             </w:t>
      </w:r>
      <w:r>
        <w:rPr>
          <w:rFonts w:hint="eastAsia" w:ascii="宋体" w:hAnsi="宋体" w:eastAsia="宋体" w:cs="仿宋_GB2312"/>
          <w:bCs/>
          <w:sz w:val="21"/>
          <w:szCs w:val="21"/>
        </w:rPr>
        <w:tab/>
        <w:t xml:space="preserve">法定（授权）代表人（签字）：</w:t>
      </w:r>
      <w:r/>
    </w:p>
    <w:p>
      <w:pPr>
        <w:ind w:firstLine="420"/>
        <w:spacing w:line="360" w:lineRule="auto"/>
        <w:tabs>
          <w:tab w:val="left" w:pos="540" w:leader="none"/>
        </w:tabs>
        <w:rPr>
          <w:rFonts w:ascii="宋体" w:hAnsi="宋体" w:eastAsia="宋体" w:cs="仿宋_GB2312"/>
          <w:bCs/>
          <w:sz w:val="21"/>
          <w:szCs w:val="21"/>
        </w:rPr>
      </w:pPr>
      <w:r>
        <w:rPr>
          <w:rFonts w:hint="eastAsia" w:ascii="宋体" w:hAnsi="宋体" w:eastAsia="宋体" w:cs="仿宋_GB2312"/>
          <w:bCs/>
          <w:sz w:val="21"/>
          <w:szCs w:val="21"/>
        </w:rPr>
        <w:t xml:space="preserve">日期：                                   </w:t>
      </w:r>
      <w:r>
        <w:rPr>
          <w:rFonts w:hint="eastAsia" w:ascii="宋体" w:hAnsi="宋体" w:eastAsia="宋体" w:cs="仿宋_GB2312"/>
          <w:bCs/>
          <w:sz w:val="21"/>
          <w:szCs w:val="21"/>
        </w:rPr>
        <w:tab/>
        <w:t xml:space="preserve">日期：</w:t>
      </w:r>
      <w:r/>
    </w:p>
    <w:p>
      <w:pPr>
        <w:ind w:firstLine="643"/>
        <w:rPr>
          <w:rFonts w:ascii="宋体" w:hAnsi="宋体" w:eastAsia="宋体"/>
          <w:b/>
          <w:sz w:val="32"/>
          <w:szCs w:val="32"/>
        </w:rPr>
      </w:pPr>
      <w:r>
        <w:rPr>
          <w:rFonts w:ascii="宋体" w:hAnsi="宋体" w:eastAsia="宋体"/>
          <w:b/>
          <w:sz w:val="32"/>
          <w:szCs w:val="32"/>
        </w:rPr>
      </w:r>
      <w:r/>
    </w:p>
    <w:p>
      <w:pPr>
        <w:rPr>
          <w:rFonts w:ascii="宋体" w:hAnsi="宋体" w:eastAsia="宋体"/>
          <w:b/>
          <w:sz w:val="24"/>
          <w:szCs w:val="24"/>
        </w:rPr>
      </w:pPr>
      <w:r>
        <w:rPr>
          <w:rFonts w:hint="eastAsia" w:ascii="宋体" w:hAnsi="宋体" w:eastAsia="宋体"/>
          <w:b/>
          <w:sz w:val="32"/>
          <w:szCs w:val="32"/>
        </w:rPr>
        <w:br w:type="page" w:clear="all"/>
      </w:r>
      <w:r/>
    </w:p>
    <w:p>
      <w:pPr>
        <w:jc w:val="center"/>
        <w:spacing w:line="360" w:lineRule="auto"/>
        <w:rPr>
          <w:rFonts w:ascii="宋体" w:hAnsi="宋体" w:eastAsia="宋体"/>
          <w:b/>
          <w:color w:val="ff0000"/>
          <w:sz w:val="32"/>
          <w:szCs w:val="32"/>
        </w:rPr>
        <w:outlineLvl w:val="0"/>
      </w:pPr>
      <w:r>
        <w:rPr>
          <w:rFonts w:hint="eastAsia" w:ascii="宋体" w:hAnsi="宋体" w:eastAsia="宋体"/>
          <w:b/>
          <w:sz w:val="32"/>
          <w:szCs w:val="32"/>
        </w:rPr>
        <w:t xml:space="preserve">第六章 评标办法及评分标准</w:t>
      </w:r>
      <w:bookmarkEnd w:id="70"/>
      <w:r/>
      <w:bookmarkEnd w:id="71"/>
      <w:r/>
      <w:r/>
    </w:p>
    <w:p>
      <w:pPr>
        <w:jc w:val="left"/>
        <w:spacing w:line="360" w:lineRule="auto"/>
        <w:rPr>
          <w:rFonts w:ascii="宋体" w:hAnsi="宋体" w:eastAsia="宋体"/>
          <w:b/>
          <w:bCs/>
          <w:sz w:val="21"/>
          <w:szCs w:val="21"/>
        </w:rPr>
      </w:pPr>
      <w:r>
        <w:rPr>
          <w:rFonts w:hint="eastAsia" w:ascii="宋体" w:hAnsi="宋体" w:eastAsia="宋体"/>
          <w:b/>
          <w:bCs/>
          <w:sz w:val="21"/>
          <w:szCs w:val="21"/>
        </w:rPr>
        <w:t xml:space="preserve">一、评标办法：</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评标办法采用综合评分法。评标结果按评审后得分由高到低顺序排列。投标文件满足招标文件全部实质性要求，且按照评审因素的量化指标评审得分最高的投标人为排名第一的中标候选人。如评审因素的量化指标评审得分相同的，则由评标委员会组织抽签确定中标人。</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评标时，评标委员会成员分别对每个有效投标人的标书进行评价、打分，直接将评委的评分按算术平均方法，计算出每个有效投标人的评委评审得分（保留小数点后两位）。对评委的评分（除价格分外）进行统计汇总。</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3.如投标人存在“苏财购字（2017）11号”文件中所列的失信或不良行为，按照文件规定执行。关于较大数额罚款的认定按照《财政部关于&lt;中华人民共和国政府采购法实施条例&gt;第十九条第一款“较大数额罚款”具体适用问题的意见》（财库〔2022〕3 号）文件执行。</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4.针对中小型企业、残疾人福利企业和监狱企业的评审：</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根据《政府采购促进中小企业发展管理办法》（财库〔2020〕46号）、《关于促进残疾人就业政府采购政策的通知》（财库〔2017〕141号）、《关于政府采购支持监狱企业发展有关</w:t>
      </w:r>
      <w:r>
        <w:rPr>
          <w:rFonts w:hint="eastAsia" w:ascii="宋体" w:hAnsi="宋体" w:eastAsia="宋体" w:cs="宋体"/>
          <w:sz w:val="21"/>
          <w:szCs w:val="21"/>
        </w:rPr>
        <w:t xml:space="preserve">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注：</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①填报“中小企业声明函”需严格按“工信部联企业〔2011〕300号通知中的《中小企业划型标准规定》进行。</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②若供应商提供的声明函或认定证明为虚假材料，按“政府采购法”相关规定处理并报请政府监管部门给予行政处罚。</w:t>
      </w:r>
      <w:r/>
    </w:p>
    <w:p>
      <w:pPr>
        <w:ind w:firstLine="420"/>
        <w:jc w:val="left"/>
        <w:spacing w:line="400" w:lineRule="exact"/>
        <w:widowControl/>
        <w:rPr>
          <w:rFonts w:ascii="宋体" w:hAnsi="宋体" w:eastAsia="宋体" w:cs="宋体"/>
          <w:b/>
          <w:sz w:val="21"/>
          <w:szCs w:val="21"/>
        </w:rPr>
      </w:pPr>
      <w:r>
        <w:rPr>
          <w:rFonts w:hint="eastAsia" w:ascii="宋体" w:hAnsi="宋体" w:eastAsia="宋体" w:cs="宋体"/>
          <w:b/>
          <w:sz w:val="21"/>
          <w:szCs w:val="21"/>
        </w:rPr>
        <w:t xml:space="preserve">③本项目为专门面向中小企业采购的项目或者采购包，不再执行价格评审优惠的扶持政策。</w:t>
      </w:r>
      <w:r/>
    </w:p>
    <w:p>
      <w:pPr>
        <w:ind w:firstLine="420"/>
        <w:jc w:val="left"/>
        <w:spacing w:line="400" w:lineRule="exact"/>
        <w:widowControl/>
        <w:rPr>
          <w:rFonts w:ascii="宋体" w:hAnsi="宋体" w:eastAsia="宋体" w:cs="宋体"/>
          <w:b/>
          <w:sz w:val="21"/>
          <w:szCs w:val="21"/>
        </w:rPr>
      </w:pPr>
      <w:r>
        <w:rPr>
          <w:rFonts w:ascii="宋体" w:hAnsi="宋体" w:eastAsia="宋体" w:cs="宋体"/>
          <w:b/>
          <w:sz w:val="21"/>
          <w:szCs w:val="21"/>
        </w:rPr>
        <w:t xml:space="preserve">5</w:t>
      </w:r>
      <w:r>
        <w:rPr>
          <w:rFonts w:hint="eastAsia" w:ascii="宋体" w:hAnsi="宋体" w:eastAsia="宋体" w:cs="宋体"/>
          <w:b/>
          <w:sz w:val="21"/>
          <w:szCs w:val="21"/>
        </w:rPr>
        <w:t xml:space="preserve">、核心产品评审说明：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设备（标注）品牌相同的，按上述规定处理。</w:t>
      </w:r>
      <w:r/>
    </w:p>
    <w:p>
      <w:pPr>
        <w:jc w:val="left"/>
        <w:spacing w:line="360" w:lineRule="auto"/>
        <w:rPr>
          <w:rFonts w:ascii="宋体" w:hAnsi="宋体" w:eastAsia="宋体"/>
          <w:b/>
          <w:bCs/>
          <w:sz w:val="21"/>
          <w:szCs w:val="21"/>
        </w:rPr>
      </w:pPr>
      <w:r>
        <w:rPr>
          <w:rFonts w:hint="eastAsia" w:ascii="宋体" w:hAnsi="宋体" w:eastAsia="宋体"/>
          <w:b/>
          <w:bCs/>
          <w:sz w:val="21"/>
          <w:szCs w:val="21"/>
        </w:rPr>
        <w:t xml:space="preserve">二、评分标准：</w:t>
      </w:r>
      <w:r/>
    </w:p>
    <w:p>
      <w:pPr>
        <w:numPr>
          <w:ilvl w:val="0"/>
          <w:numId w:val="12"/>
        </w:numPr>
        <w:spacing w:line="400" w:lineRule="exact"/>
        <w:tabs>
          <w:tab w:val="left" w:pos="567" w:leader="none"/>
        </w:tabs>
        <w:rPr>
          <w:rFonts w:ascii="宋体" w:hAnsi="宋体" w:eastAsia="宋体" w:cs="宋体"/>
          <w:b/>
          <w:bCs/>
          <w:sz w:val="21"/>
          <w:szCs w:val="21"/>
        </w:rPr>
        <w:outlineLvl w:val="2"/>
      </w:pPr>
      <w:r>
        <w:rPr>
          <w:rFonts w:hint="eastAsia" w:ascii="宋体" w:hAnsi="宋体" w:eastAsia="宋体" w:cs="宋体"/>
          <w:b/>
          <w:bCs/>
          <w:sz w:val="21"/>
          <w:szCs w:val="21"/>
        </w:rPr>
        <w:t xml:space="preserve">价格分（30分）</w:t>
      </w:r>
      <w:r/>
    </w:p>
    <w:p>
      <w:pPr>
        <w:ind w:firstLine="420"/>
        <w:spacing w:line="400" w:lineRule="exact"/>
        <w:tabs>
          <w:tab w:val="left" w:pos="420" w:leader="none"/>
        </w:tabs>
        <w:rPr>
          <w:rFonts w:ascii="宋体" w:hAnsi="宋体" w:eastAsia="宋体" w:cs="宋体"/>
          <w:sz w:val="21"/>
          <w:szCs w:val="21"/>
        </w:rPr>
      </w:pPr>
      <w:r>
        <w:rPr>
          <w:rFonts w:hint="eastAsia" w:ascii="宋体" w:hAnsi="宋体" w:eastAsia="宋体" w:cs="宋体"/>
          <w:sz w:val="21"/>
          <w:szCs w:val="21"/>
        </w:rPr>
        <w:t xml:space="preserve">1.投标报价不超过采购预算价格的，为有效投标报价。超出此范围的投标报价为无效投标报价。无效投标报价的投标文件不进行评审，也不得标。</w:t>
      </w:r>
      <w:r/>
    </w:p>
    <w:p>
      <w:pPr>
        <w:ind w:firstLine="420"/>
        <w:spacing w:line="400" w:lineRule="exact"/>
        <w:tabs>
          <w:tab w:val="left" w:pos="420" w:leader="none"/>
        </w:tabs>
        <w:rPr>
          <w:rFonts w:ascii="宋体" w:hAnsi="宋体" w:eastAsia="宋体" w:cs="宋体"/>
          <w:sz w:val="21"/>
          <w:szCs w:val="21"/>
        </w:rPr>
      </w:pPr>
      <w:r>
        <w:rPr>
          <w:rFonts w:hint="eastAsia" w:ascii="宋体" w:hAnsi="宋体" w:eastAsia="宋体" w:cs="宋体"/>
          <w:sz w:val="21"/>
          <w:szCs w:val="21"/>
        </w:rPr>
        <w:t xml:space="preserve">2.价格得分计算方法：根据各投标人通过符合性审查的有效投标报价中的最低价作为评标基准价，其价格分为最高分。</w:t>
      </w:r>
      <w:r/>
    </w:p>
    <w:p>
      <w:pPr>
        <w:ind w:firstLine="420"/>
        <w:spacing w:line="400" w:lineRule="exact"/>
        <w:tabs>
          <w:tab w:val="left" w:pos="420" w:leader="none"/>
        </w:tabs>
        <w:rPr>
          <w:rFonts w:ascii="宋体" w:hAnsi="宋体" w:eastAsia="宋体" w:cs="宋体"/>
          <w:sz w:val="21"/>
          <w:szCs w:val="21"/>
        </w:rPr>
      </w:pPr>
      <w:r>
        <w:rPr>
          <w:rFonts w:hint="eastAsia" w:ascii="宋体" w:hAnsi="宋体" w:eastAsia="宋体" w:cs="宋体"/>
          <w:sz w:val="21"/>
          <w:szCs w:val="21"/>
        </w:rPr>
        <w:t xml:space="preserve">3.其他投标人的价格分统一按照下列公式计算：</w:t>
      </w:r>
      <w:r/>
    </w:p>
    <w:p>
      <w:pPr>
        <w:pStyle w:val="984"/>
        <w:ind w:left="560" w:firstLine="0"/>
        <w:spacing w:line="400" w:lineRule="exact"/>
        <w:widowControl w:val="off"/>
        <w:rPr>
          <w:rFonts w:hAnsi="宋体" w:cs="宋体"/>
          <w:sz w:val="21"/>
          <w:szCs w:val="21"/>
        </w:rPr>
      </w:pPr>
      <w:r>
        <w:rPr>
          <w:rFonts w:hint="eastAsia" w:hAnsi="宋体" w:cs="宋体"/>
          <w:sz w:val="21"/>
          <w:szCs w:val="21"/>
        </w:rPr>
        <w:t xml:space="preserve">投标报价得分=(评标基准价／投标报价)×价格权值×100，小数点后保留两位。</w:t>
      </w:r>
      <w:r/>
    </w:p>
    <w:p>
      <w:pPr>
        <w:ind w:firstLine="420"/>
        <w:jc w:val="left"/>
        <w:spacing w:line="400" w:lineRule="exact"/>
        <w:widowControl/>
        <w:tabs>
          <w:tab w:val="left" w:pos="420" w:leader="none"/>
        </w:tabs>
        <w:rPr>
          <w:rFonts w:ascii="宋体" w:hAnsi="宋体" w:eastAsia="宋体" w:cs="宋体"/>
          <w:b/>
          <w:sz w:val="21"/>
          <w:szCs w:val="21"/>
        </w:rPr>
      </w:pPr>
      <w:r>
        <w:rPr>
          <w:rFonts w:hint="eastAsia" w:ascii="宋体" w:hAnsi="宋体" w:eastAsia="宋体" w:cs="宋体"/>
          <w:b/>
          <w:sz w:val="21"/>
          <w:szCs w:val="21"/>
        </w:rPr>
        <w:t xml:space="preserve">（二）投标产品技术质量（</w:t>
      </w:r>
      <w:r>
        <w:rPr>
          <w:rFonts w:ascii="宋体" w:hAnsi="宋体" w:eastAsia="宋体" w:cs="宋体"/>
          <w:b/>
          <w:sz w:val="21"/>
          <w:szCs w:val="21"/>
        </w:rPr>
        <w:t xml:space="preserve">4</w:t>
      </w:r>
      <w:r>
        <w:rPr>
          <w:rFonts w:ascii="宋体" w:hAnsi="宋体" w:eastAsia="宋体" w:cs="宋体"/>
          <w:b/>
          <w:sz w:val="21"/>
          <w:szCs w:val="21"/>
        </w:rPr>
        <w:t xml:space="preserve">0</w:t>
      </w:r>
      <w:r>
        <w:rPr>
          <w:rFonts w:hint="eastAsia" w:ascii="宋体" w:hAnsi="宋体" w:eastAsia="宋体" w:cs="宋体"/>
          <w:b/>
          <w:sz w:val="21"/>
          <w:szCs w:val="21"/>
        </w:rPr>
        <w:t xml:space="preserve">分）</w:t>
      </w:r>
      <w:r/>
    </w:p>
    <w:p>
      <w:pPr>
        <w:ind w:firstLine="420"/>
        <w:jc w:val="left"/>
        <w:spacing w:line="400" w:lineRule="exact"/>
        <w:widowControl/>
        <w:tabs>
          <w:tab w:val="left" w:pos="420" w:leader="none"/>
        </w:tabs>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所投产品</w:t>
      </w:r>
      <w:r>
        <w:rPr>
          <w:rFonts w:hint="eastAsia" w:ascii="宋体" w:hAnsi="宋体" w:eastAsia="宋体" w:cs="宋体"/>
          <w:sz w:val="21"/>
          <w:szCs w:val="21"/>
        </w:rPr>
        <w:t xml:space="preserve">清单中，标“</w:t>
      </w:r>
      <w:r>
        <w:rPr>
          <w:rFonts w:hint="eastAsia" w:ascii="宋体" w:hAnsi="宋体" w:eastAsia="宋体" w:cs="宋体"/>
          <w:sz w:val="20"/>
        </w:rPr>
        <w:t xml:space="preserve">▲</w:t>
      </w:r>
      <w:r>
        <w:rPr>
          <w:rFonts w:hint="eastAsia" w:ascii="宋体" w:hAnsi="宋体" w:eastAsia="宋体" w:cs="宋体"/>
          <w:sz w:val="21"/>
          <w:szCs w:val="21"/>
        </w:rPr>
        <w:t xml:space="preserve">”参数</w:t>
      </w:r>
      <w:r>
        <w:rPr>
          <w:rFonts w:hint="eastAsia" w:ascii="宋体" w:hAnsi="宋体" w:eastAsia="宋体" w:cs="宋体"/>
          <w:sz w:val="21"/>
          <w:szCs w:val="21"/>
        </w:rPr>
        <w:t xml:space="preserve">完全满足或优于招标文件技术</w:t>
      </w:r>
      <w:r>
        <w:rPr>
          <w:rFonts w:hint="eastAsia" w:ascii="宋体" w:hAnsi="宋体" w:eastAsia="宋体" w:cs="宋体"/>
          <w:sz w:val="21"/>
          <w:szCs w:val="21"/>
        </w:rPr>
        <w:t xml:space="preserve">参数</w:t>
      </w:r>
      <w:r>
        <w:rPr>
          <w:rFonts w:hint="eastAsia" w:ascii="宋体" w:hAnsi="宋体" w:eastAsia="宋体" w:cs="宋体"/>
          <w:sz w:val="21"/>
          <w:szCs w:val="21"/>
        </w:rPr>
        <w:t xml:space="preserve">要求的</w:t>
      </w:r>
      <w:r>
        <w:rPr>
          <w:rFonts w:hint="eastAsia" w:ascii="宋体" w:hAnsi="宋体" w:eastAsia="宋体" w:cs="宋体"/>
          <w:sz w:val="21"/>
          <w:szCs w:val="21"/>
        </w:rPr>
        <w:t xml:space="preserve">得2</w:t>
      </w:r>
      <w:r>
        <w:rPr>
          <w:rFonts w:ascii="宋体" w:hAnsi="宋体" w:eastAsia="宋体" w:cs="宋体"/>
          <w:sz w:val="21"/>
          <w:szCs w:val="21"/>
        </w:rPr>
        <w:t xml:space="preserve">0</w:t>
      </w:r>
      <w:r>
        <w:rPr>
          <w:rFonts w:hint="eastAsia" w:ascii="宋体" w:hAnsi="宋体" w:eastAsia="宋体" w:cs="宋体"/>
          <w:sz w:val="21"/>
          <w:szCs w:val="21"/>
        </w:rPr>
        <w:t xml:space="preserve">分</w:t>
      </w:r>
      <w:r>
        <w:rPr>
          <w:rFonts w:hint="eastAsia" w:ascii="宋体" w:hAnsi="宋体" w:eastAsia="宋体" w:cs="宋体"/>
          <w:sz w:val="21"/>
          <w:szCs w:val="21"/>
        </w:rPr>
        <w:t xml:space="preserve">，</w:t>
      </w:r>
      <w:r>
        <w:rPr>
          <w:rFonts w:hint="eastAsia" w:ascii="宋体" w:hAnsi="宋体" w:eastAsia="宋体" w:cs="宋体"/>
          <w:sz w:val="21"/>
          <w:szCs w:val="21"/>
        </w:rPr>
        <w:t xml:space="preserve">其中</w:t>
      </w:r>
      <w:r>
        <w:rPr>
          <w:rFonts w:hint="eastAsia" w:ascii="宋体" w:hAnsi="宋体" w:eastAsia="宋体" w:cs="宋体"/>
          <w:sz w:val="21"/>
          <w:szCs w:val="21"/>
        </w:rPr>
        <w:t xml:space="preserve">每负偏离一项扣</w:t>
      </w:r>
      <w:r>
        <w:rPr>
          <w:rFonts w:ascii="宋体" w:hAnsi="宋体" w:eastAsia="宋体" w:cs="宋体"/>
          <w:sz w:val="21"/>
          <w:szCs w:val="21"/>
        </w:rPr>
        <w:t xml:space="preserve">1</w:t>
      </w:r>
      <w:r>
        <w:rPr>
          <w:rFonts w:hint="eastAsia" w:ascii="宋体" w:hAnsi="宋体" w:eastAsia="宋体" w:cs="宋体"/>
          <w:sz w:val="21"/>
          <w:szCs w:val="21"/>
        </w:rPr>
        <w:t xml:space="preserve">分，扣完为止。</w:t>
      </w:r>
      <w:r>
        <w:rPr>
          <w:rFonts w:hint="eastAsia" w:ascii="宋体" w:hAnsi="宋体" w:eastAsia="宋体" w:cs="宋体"/>
          <w:sz w:val="21"/>
          <w:szCs w:val="21"/>
        </w:rPr>
        <w:t xml:space="preserve">注：需提供国家认可的第三方检测检验机构出具的检测检验报告</w:t>
      </w:r>
      <w:r>
        <w:rPr>
          <w:rFonts w:hint="eastAsia" w:ascii="宋体" w:hAnsi="宋体" w:eastAsia="宋体" w:cs="宋体"/>
          <w:sz w:val="21"/>
          <w:szCs w:val="21"/>
        </w:rPr>
        <w:t xml:space="preserve">，否则评委可视为负偏离处理。</w:t>
      </w:r>
      <w:r/>
    </w:p>
    <w:p>
      <w:pPr>
        <w:ind w:firstLine="420"/>
        <w:jc w:val="left"/>
        <w:spacing w:line="400" w:lineRule="exact"/>
        <w:widowControl/>
        <w:tabs>
          <w:tab w:val="left" w:pos="420" w:leader="none"/>
        </w:tabs>
        <w:rPr>
          <w:rFonts w:ascii="宋体" w:hAnsi="宋体" w:eastAsia="宋体" w:cs="宋体"/>
          <w:sz w:val="21"/>
          <w:szCs w:val="21"/>
        </w:rPr>
      </w:pPr>
      <w:r>
        <w:rPr>
          <w:rFonts w:hint="eastAsia" w:ascii="宋体" w:hAnsi="宋体" w:eastAsia="宋体" w:cs="宋体"/>
          <w:sz w:val="21"/>
          <w:szCs w:val="21"/>
        </w:rPr>
        <w:t xml:space="preserve">2、招标文件中</w:t>
      </w:r>
      <w:r>
        <w:rPr>
          <w:rFonts w:hint="eastAsia" w:ascii="宋体" w:hAnsi="宋体" w:eastAsia="宋体" w:cs="宋体"/>
          <w:sz w:val="21"/>
          <w:szCs w:val="21"/>
        </w:rPr>
        <w:t xml:space="preserve">（除核心产品外）</w:t>
      </w:r>
      <w:r>
        <w:rPr>
          <w:rFonts w:hint="eastAsia" w:ascii="宋体" w:hAnsi="宋体" w:eastAsia="宋体" w:cs="宋体"/>
          <w:sz w:val="21"/>
          <w:szCs w:val="21"/>
        </w:rPr>
        <w:t xml:space="preserve">所有</w:t>
      </w:r>
      <w:r>
        <w:rPr>
          <w:rFonts w:hint="eastAsia" w:ascii="宋体" w:hAnsi="宋体" w:eastAsia="宋体" w:cs="宋体"/>
          <w:sz w:val="21"/>
          <w:szCs w:val="21"/>
        </w:rPr>
        <w:t xml:space="preserve">货物的</w:t>
      </w:r>
      <w:r>
        <w:rPr>
          <w:rFonts w:hint="eastAsia" w:ascii="宋体" w:hAnsi="宋体" w:eastAsia="宋体" w:cs="宋体"/>
          <w:sz w:val="21"/>
          <w:szCs w:val="21"/>
        </w:rPr>
        <w:t xml:space="preserve">技术参数</w:t>
      </w:r>
      <w:r>
        <w:rPr>
          <w:rFonts w:hint="eastAsia" w:ascii="宋体" w:hAnsi="宋体" w:eastAsia="宋体" w:cs="宋体"/>
          <w:sz w:val="21"/>
          <w:szCs w:val="21"/>
        </w:rPr>
        <w:t xml:space="preserve">（不含中标后需提供的检测报告）</w:t>
      </w:r>
      <w:r>
        <w:rPr>
          <w:rFonts w:hint="eastAsia" w:ascii="宋体" w:hAnsi="宋体" w:eastAsia="宋体" w:cs="宋体"/>
          <w:sz w:val="21"/>
          <w:szCs w:val="21"/>
        </w:rPr>
        <w:t xml:space="preserve">完全满足</w:t>
      </w:r>
      <w:r>
        <w:rPr>
          <w:rFonts w:hint="eastAsia" w:ascii="宋体" w:hAnsi="宋体" w:eastAsia="宋体" w:cs="宋体"/>
          <w:sz w:val="21"/>
          <w:szCs w:val="21"/>
        </w:rPr>
        <w:t xml:space="preserve">招标文件要求</w:t>
      </w:r>
      <w:r>
        <w:rPr>
          <w:rFonts w:hint="eastAsia" w:ascii="宋体" w:hAnsi="宋体" w:eastAsia="宋体" w:cs="宋体"/>
          <w:sz w:val="21"/>
          <w:szCs w:val="21"/>
        </w:rPr>
        <w:t xml:space="preserve">得20分，每有一项负偏离的扣</w:t>
      </w:r>
      <w:r>
        <w:rPr>
          <w:rFonts w:ascii="宋体" w:hAnsi="宋体" w:eastAsia="宋体" w:cs="宋体"/>
          <w:sz w:val="21"/>
          <w:szCs w:val="21"/>
        </w:rPr>
        <w:t xml:space="preserve">0.5</w:t>
      </w:r>
      <w:r>
        <w:rPr>
          <w:rFonts w:hint="eastAsia" w:ascii="宋体" w:hAnsi="宋体" w:eastAsia="宋体" w:cs="宋体"/>
          <w:sz w:val="21"/>
          <w:szCs w:val="21"/>
        </w:rPr>
        <w:t xml:space="preserve">分，扣完为止。</w:t>
      </w:r>
      <w:r/>
    </w:p>
    <w:p>
      <w:pPr>
        <w:ind w:left="420"/>
        <w:spacing w:line="400" w:lineRule="exact"/>
        <w:tabs>
          <w:tab w:val="left" w:pos="567" w:leader="none"/>
        </w:tabs>
        <w:rPr>
          <w:rFonts w:ascii="宋体" w:hAnsi="宋体" w:eastAsia="宋体" w:cs="宋体"/>
          <w:sz w:val="21"/>
          <w:szCs w:val="21"/>
        </w:rPr>
        <w:outlineLvl w:val="2"/>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三</w:t>
      </w:r>
      <w:r>
        <w:rPr>
          <w:rFonts w:hint="eastAsia" w:ascii="宋体" w:hAnsi="宋体" w:eastAsia="宋体" w:cs="宋体"/>
          <w:b/>
          <w:bCs/>
          <w:sz w:val="21"/>
          <w:szCs w:val="21"/>
        </w:rPr>
        <w:t xml:space="preserve">）实施进度、安装调试、售后服务方案</w:t>
      </w:r>
      <w:r>
        <w:rPr>
          <w:rFonts w:hint="eastAsia" w:ascii="宋体" w:hAnsi="宋体" w:eastAsia="宋体" w:cs="宋体"/>
          <w:b/>
          <w:sz w:val="21"/>
          <w:szCs w:val="21"/>
        </w:rPr>
        <w:t xml:space="preserve">（</w:t>
      </w:r>
      <w:r>
        <w:rPr>
          <w:rFonts w:ascii="宋体" w:hAnsi="宋体" w:eastAsia="宋体" w:cs="宋体"/>
          <w:b/>
          <w:sz w:val="21"/>
          <w:szCs w:val="21"/>
        </w:rPr>
        <w:t xml:space="preserve">22</w:t>
      </w:r>
      <w:r>
        <w:rPr>
          <w:rFonts w:hint="eastAsia" w:ascii="宋体" w:hAnsi="宋体" w:eastAsia="宋体" w:cs="宋体"/>
          <w:b/>
          <w:sz w:val="21"/>
          <w:szCs w:val="21"/>
        </w:rPr>
        <w:t xml:space="preserve">分）</w:t>
      </w:r>
      <w:r/>
    </w:p>
    <w:p>
      <w:pPr>
        <w:ind w:firstLine="420"/>
        <w:jc w:val="left"/>
        <w:spacing w:line="400" w:lineRule="exact"/>
        <w:widowControl/>
        <w:tabs>
          <w:tab w:val="left" w:pos="420" w:leader="none"/>
        </w:tabs>
        <w:rPr>
          <w:rFonts w:ascii="宋体" w:hAnsi="宋体" w:eastAsia="宋体" w:cs="宋体"/>
          <w:sz w:val="21"/>
          <w:szCs w:val="21"/>
        </w:rPr>
      </w:pPr>
      <w:r>
        <w:rPr>
          <w:rFonts w:hint="eastAsia" w:ascii="宋体" w:hAnsi="宋体" w:eastAsia="宋体" w:cs="宋体"/>
          <w:sz w:val="21"/>
          <w:szCs w:val="21"/>
        </w:rPr>
        <w:t xml:space="preserve">1.针对本项目采购需求提供项目实施方案和进度计划内容。应包含但不限于项目进度实施计划、任务分工及人员安排、设备采购及运送计划、交货时间及地点、质量管理计划、验收计划、调试方案及操作规程和常见问题解决方案等内容。内容完整、详实可行的方案，有很强的针对性，得</w:t>
      </w:r>
      <w:r>
        <w:rPr>
          <w:rFonts w:ascii="宋体" w:hAnsi="宋体" w:eastAsia="宋体" w:cs="宋体"/>
          <w:sz w:val="21"/>
          <w:szCs w:val="21"/>
        </w:rPr>
        <w:t xml:space="preserve">4</w:t>
      </w:r>
      <w:r>
        <w:rPr>
          <w:rFonts w:hint="eastAsia" w:ascii="宋体" w:hAnsi="宋体" w:eastAsia="宋体" w:cs="宋体"/>
          <w:sz w:val="21"/>
          <w:szCs w:val="21"/>
        </w:rPr>
        <w:t xml:space="preserve">分；提供了常规、通用的方案，基本符合采购需求，得</w:t>
      </w:r>
      <w:r>
        <w:rPr>
          <w:rFonts w:ascii="宋体" w:hAnsi="宋体" w:eastAsia="宋体" w:cs="宋体"/>
          <w:sz w:val="21"/>
          <w:szCs w:val="21"/>
        </w:rPr>
        <w:t xml:space="preserve">2</w:t>
      </w:r>
      <w:r>
        <w:rPr>
          <w:rFonts w:hint="eastAsia" w:ascii="宋体" w:hAnsi="宋体" w:eastAsia="宋体" w:cs="宋体"/>
          <w:sz w:val="21"/>
          <w:szCs w:val="21"/>
        </w:rPr>
        <w:t xml:space="preserve">分；方案有缺陷、不合理，得1分；未提供相应方案，得 0 分。</w:t>
      </w:r>
      <w:r/>
    </w:p>
    <w:p>
      <w:pPr>
        <w:ind w:firstLine="420"/>
        <w:jc w:val="left"/>
        <w:spacing w:line="400" w:lineRule="exact"/>
        <w:widowControl/>
        <w:tabs>
          <w:tab w:val="left" w:pos="420" w:leader="none"/>
        </w:tabs>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w:t>
      </w:r>
      <w:r>
        <w:rPr>
          <w:rFonts w:hint="eastAsia" w:ascii="宋体" w:hAnsi="宋体" w:eastAsia="宋体" w:cs="宋体"/>
          <w:sz w:val="21"/>
          <w:szCs w:val="21"/>
        </w:rPr>
        <w:t xml:space="preserve">针对本项目安装调试方案应包括但不限于安装调试进度计划、环境保障要求、设备拆箱要求及标准、设备安装步骤及检验标准、软件安装及使用、调试参数及验收标准和常见问题解决方案等内容。内容完整、详实可行的方案，有很强的针对性，得 </w:t>
      </w:r>
      <w:r>
        <w:rPr>
          <w:rFonts w:ascii="宋体" w:hAnsi="宋体" w:eastAsia="宋体" w:cs="宋体"/>
          <w:sz w:val="21"/>
          <w:szCs w:val="21"/>
        </w:rPr>
        <w:t xml:space="preserve">4</w:t>
      </w:r>
      <w:r>
        <w:rPr>
          <w:rFonts w:hint="eastAsia" w:ascii="宋体" w:hAnsi="宋体" w:eastAsia="宋体" w:cs="宋体"/>
          <w:sz w:val="21"/>
          <w:szCs w:val="21"/>
        </w:rPr>
        <w:t xml:space="preserve">分；提供了常规、通用的方案，基本符合采购需求，得</w:t>
      </w:r>
      <w:r>
        <w:rPr>
          <w:rFonts w:ascii="宋体" w:hAnsi="宋体" w:eastAsia="宋体" w:cs="宋体"/>
          <w:sz w:val="21"/>
          <w:szCs w:val="21"/>
        </w:rPr>
        <w:t xml:space="preserve">2</w:t>
      </w:r>
      <w:r>
        <w:rPr>
          <w:rFonts w:hint="eastAsia" w:ascii="宋体" w:hAnsi="宋体" w:eastAsia="宋体" w:cs="宋体"/>
          <w:sz w:val="21"/>
          <w:szCs w:val="21"/>
        </w:rPr>
        <w:t xml:space="preserve">分；方案有缺陷、不合理，得1分；未提供相应方案，得 0 分。</w:t>
      </w:r>
      <w:r/>
    </w:p>
    <w:p>
      <w:pPr>
        <w:ind w:firstLine="420"/>
        <w:jc w:val="left"/>
        <w:spacing w:line="400" w:lineRule="exact"/>
        <w:widowControl/>
        <w:tabs>
          <w:tab w:val="left" w:pos="420" w:leader="none"/>
        </w:tabs>
        <w:rPr>
          <w:rFonts w:ascii="宋体" w:hAnsi="宋体" w:eastAsia="宋体" w:cs="宋体"/>
          <w:sz w:val="21"/>
          <w:szCs w:val="21"/>
        </w:rPr>
      </w:pPr>
      <w:r>
        <w:rPr>
          <w:rFonts w:hint="eastAsia" w:ascii="宋体" w:hAnsi="宋体" w:eastAsia="宋体" w:cs="宋体"/>
          <w:sz w:val="21"/>
          <w:szCs w:val="21"/>
        </w:rPr>
        <w:t xml:space="preserve">3.售后服务方案应包括但不限于售后服务范围、售后服务机构及专业技术人员配置、售后服务响应及保障计划、售后服务承诺书和设备使用情况回访计划等内容。内容完整、详实可行的方案，有很强的针对性，得</w:t>
      </w:r>
      <w:r>
        <w:rPr>
          <w:rFonts w:ascii="宋体" w:hAnsi="宋体" w:eastAsia="宋体" w:cs="宋体"/>
          <w:sz w:val="21"/>
          <w:szCs w:val="21"/>
        </w:rPr>
        <w:t xml:space="preserve">4</w:t>
      </w:r>
      <w:r>
        <w:rPr>
          <w:rFonts w:hint="eastAsia" w:ascii="宋体" w:hAnsi="宋体" w:eastAsia="宋体" w:cs="宋体"/>
          <w:sz w:val="21"/>
          <w:szCs w:val="21"/>
        </w:rPr>
        <w:t xml:space="preserve">分；提供了常规、通用的方案，基本符合采购需求，得</w:t>
      </w:r>
      <w:r>
        <w:rPr>
          <w:rFonts w:ascii="宋体" w:hAnsi="宋体" w:eastAsia="宋体" w:cs="宋体"/>
          <w:sz w:val="21"/>
          <w:szCs w:val="21"/>
        </w:rPr>
        <w:t xml:space="preserve">2</w:t>
      </w:r>
      <w:r>
        <w:rPr>
          <w:rFonts w:hint="eastAsia" w:ascii="宋体" w:hAnsi="宋体" w:eastAsia="宋体" w:cs="宋体"/>
          <w:sz w:val="21"/>
          <w:szCs w:val="21"/>
        </w:rPr>
        <w:t xml:space="preserve">分；方案有缺陷、不合理，得1分；未提供相应方案，得 0 分。</w:t>
      </w:r>
      <w:r/>
    </w:p>
    <w:p>
      <w:pPr>
        <w:ind w:firstLine="420"/>
        <w:jc w:val="left"/>
        <w:spacing w:line="400" w:lineRule="exact"/>
        <w:widowControl/>
        <w:tabs>
          <w:tab w:val="left" w:pos="420" w:leader="none"/>
        </w:tabs>
        <w:rPr>
          <w:rFonts w:ascii="宋体" w:hAnsi="宋体" w:eastAsia="宋体" w:cs="宋体"/>
          <w:sz w:val="21"/>
          <w:szCs w:val="21"/>
        </w:rPr>
      </w:pPr>
      <w:r>
        <w:rPr>
          <w:rFonts w:hint="eastAsia" w:ascii="宋体" w:hAnsi="宋体" w:eastAsia="宋体" w:cs="宋体"/>
          <w:sz w:val="21"/>
          <w:szCs w:val="21"/>
        </w:rPr>
        <w:t xml:space="preserve">4.技术培训方案内容应包括但不限于培训计划、培训人员数量、培训组织时间及地点、设备及软件的安装及操作、设备维护及故障排除等内容。内容完整、详实可行的方案，有很强的针对性，得5分；提供了常规、通用的方案，基本符合采购需求，得 2 分；方案有缺陷、不合理，得1分；未提供相应方案，得 0 分。</w:t>
      </w:r>
      <w:r/>
    </w:p>
    <w:p>
      <w:pPr>
        <w:ind w:firstLine="420"/>
        <w:jc w:val="left"/>
        <w:spacing w:line="400" w:lineRule="exact"/>
        <w:widowControl/>
        <w:tabs>
          <w:tab w:val="left" w:pos="420" w:leader="none"/>
        </w:tabs>
        <w:rPr>
          <w:rFonts w:ascii="宋体" w:hAnsi="宋体" w:eastAsia="宋体" w:cs="宋体"/>
          <w:sz w:val="21"/>
          <w:szCs w:val="21"/>
        </w:rPr>
      </w:pPr>
      <w:r>
        <w:rPr>
          <w:rFonts w:hint="eastAsia" w:ascii="宋体" w:hAnsi="宋体" w:eastAsia="宋体" w:cs="宋体"/>
          <w:sz w:val="21"/>
          <w:szCs w:val="21"/>
        </w:rPr>
        <w:t xml:space="preserve">5.针对本项目质保期满后的售后服务项目内容完整、详实可行的方案，有很强的针对性，得</w:t>
      </w:r>
      <w:r>
        <w:rPr>
          <w:rFonts w:ascii="宋体" w:hAnsi="宋体" w:eastAsia="宋体" w:cs="宋体"/>
          <w:sz w:val="21"/>
          <w:szCs w:val="21"/>
        </w:rPr>
        <w:t xml:space="preserve">4</w:t>
      </w:r>
      <w:r>
        <w:rPr>
          <w:rFonts w:hint="eastAsia" w:ascii="宋体" w:hAnsi="宋体" w:eastAsia="宋体" w:cs="宋体"/>
          <w:sz w:val="21"/>
          <w:szCs w:val="21"/>
        </w:rPr>
        <w:t xml:space="preserve">分；提供了常规、通用的方案，基本符合采购需求，得2分；方案有缺陷、不合理，得1分；未提供相应方案，得 0 分。</w:t>
      </w:r>
      <w:r/>
    </w:p>
    <w:p>
      <w:pPr>
        <w:ind w:firstLine="420"/>
        <w:jc w:val="left"/>
        <w:spacing w:line="400" w:lineRule="exact"/>
        <w:widowControl/>
        <w:tabs>
          <w:tab w:val="left" w:pos="420" w:leader="none"/>
        </w:tabs>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投标人针对本项目</w:t>
      </w:r>
      <w:r>
        <w:rPr>
          <w:rFonts w:hint="eastAsia" w:ascii="宋体" w:hAnsi="宋体" w:eastAsia="宋体" w:cs="宋体"/>
          <w:sz w:val="21"/>
          <w:szCs w:val="21"/>
        </w:rPr>
        <w:t xml:space="preserve">提供</w:t>
      </w:r>
      <w:r>
        <w:rPr>
          <w:rFonts w:hint="eastAsia" w:ascii="宋体" w:hAnsi="宋体" w:eastAsia="宋体" w:cs="宋体"/>
          <w:sz w:val="21"/>
          <w:szCs w:val="21"/>
        </w:rPr>
        <w:t xml:space="preserve">优惠措施</w:t>
      </w:r>
      <w:r>
        <w:rPr>
          <w:rFonts w:hint="eastAsia" w:ascii="宋体" w:hAnsi="宋体" w:eastAsia="宋体" w:cs="宋体"/>
          <w:sz w:val="21"/>
          <w:szCs w:val="21"/>
        </w:rPr>
        <w:t xml:space="preserve">的</w:t>
      </w:r>
      <w:r>
        <w:rPr>
          <w:rFonts w:hint="eastAsia" w:ascii="宋体" w:hAnsi="宋体" w:eastAsia="宋体" w:cs="宋体"/>
          <w:sz w:val="21"/>
          <w:szCs w:val="21"/>
        </w:rPr>
        <w:t xml:space="preserve">得 </w:t>
      </w:r>
      <w:r>
        <w:rPr>
          <w:rFonts w:ascii="宋体" w:hAnsi="宋体" w:eastAsia="宋体" w:cs="宋体"/>
          <w:sz w:val="21"/>
          <w:szCs w:val="21"/>
        </w:rPr>
        <w:t xml:space="preserve">1</w:t>
      </w:r>
      <w:r>
        <w:rPr>
          <w:rFonts w:hint="eastAsia" w:ascii="宋体" w:hAnsi="宋体" w:eastAsia="宋体" w:cs="宋体"/>
          <w:sz w:val="21"/>
          <w:szCs w:val="21"/>
        </w:rPr>
        <w:t xml:space="preserve">分。</w:t>
      </w:r>
      <w:r/>
    </w:p>
    <w:p>
      <w:pPr>
        <w:ind w:firstLine="422"/>
        <w:jc w:val="left"/>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（四</w:t>
      </w:r>
      <w:r>
        <w:rPr>
          <w:rFonts w:hint="eastAsia" w:ascii="宋体" w:hAnsi="宋体" w:eastAsia="宋体" w:cs="宋体"/>
          <w:b/>
          <w:bCs/>
          <w:sz w:val="21"/>
          <w:szCs w:val="21"/>
        </w:rPr>
        <w:t xml:space="preserve">）综合实力（</w:t>
      </w:r>
      <w:r>
        <w:rPr>
          <w:rFonts w:ascii="宋体" w:hAnsi="宋体" w:eastAsia="宋体" w:cs="宋体"/>
          <w:b/>
          <w:bCs/>
          <w:sz w:val="21"/>
          <w:szCs w:val="21"/>
        </w:rPr>
        <w:t xml:space="preserve">8</w:t>
      </w:r>
      <w:r>
        <w:rPr>
          <w:rFonts w:hint="eastAsia" w:ascii="宋体" w:hAnsi="宋体" w:eastAsia="宋体" w:cs="宋体"/>
          <w:b/>
          <w:bCs/>
          <w:sz w:val="21"/>
          <w:szCs w:val="21"/>
        </w:rPr>
        <w:t xml:space="preserve">分）</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1.类似项目业绩（</w:t>
      </w:r>
      <w:r>
        <w:rPr>
          <w:rFonts w:ascii="宋体" w:hAnsi="宋体" w:eastAsia="宋体" w:cs="宋体"/>
          <w:sz w:val="21"/>
          <w:szCs w:val="21"/>
        </w:rPr>
        <w:t xml:space="preserve">5</w:t>
      </w:r>
      <w:r>
        <w:rPr>
          <w:rFonts w:hint="eastAsia" w:ascii="宋体" w:hAnsi="宋体" w:eastAsia="宋体" w:cs="宋体"/>
          <w:sz w:val="21"/>
          <w:szCs w:val="21"/>
        </w:rPr>
        <w:t xml:space="preserve">分）</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投标人提供自202</w:t>
      </w:r>
      <w:r>
        <w:rPr>
          <w:rFonts w:ascii="宋体" w:hAnsi="宋体" w:eastAsia="宋体" w:cs="宋体"/>
          <w:sz w:val="21"/>
          <w:szCs w:val="21"/>
        </w:rPr>
        <w:t xml:space="preserve">2</w:t>
      </w:r>
      <w:r>
        <w:rPr>
          <w:rFonts w:hint="eastAsia" w:ascii="宋体" w:hAnsi="宋体" w:eastAsia="宋体" w:cs="宋体"/>
          <w:sz w:val="21"/>
          <w:szCs w:val="21"/>
        </w:rPr>
        <w:t xml:space="preserve">年以来承担过的类似业绩，每提供一个合同得</w:t>
      </w:r>
      <w:r>
        <w:rPr>
          <w:rFonts w:ascii="宋体" w:hAnsi="宋体" w:eastAsia="宋体" w:cs="宋体"/>
          <w:sz w:val="21"/>
          <w:szCs w:val="21"/>
        </w:rPr>
        <w:t xml:space="preserve">1</w:t>
      </w:r>
      <w:r>
        <w:rPr>
          <w:rFonts w:hint="eastAsia" w:ascii="宋体" w:hAnsi="宋体" w:eastAsia="宋体" w:cs="宋体"/>
          <w:sz w:val="21"/>
          <w:szCs w:val="21"/>
        </w:rPr>
        <w:t xml:space="preserve">分，本项共5分。注：投标人须提供合同扫描件。</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2.管理体系认证（</w:t>
      </w:r>
      <w:r>
        <w:rPr>
          <w:rFonts w:ascii="宋体" w:hAnsi="宋体" w:eastAsia="宋体" w:cs="宋体"/>
          <w:sz w:val="21"/>
          <w:szCs w:val="21"/>
        </w:rPr>
        <w:t xml:space="preserve">3</w:t>
      </w:r>
      <w:r>
        <w:rPr>
          <w:rFonts w:hint="eastAsia" w:ascii="宋体" w:hAnsi="宋体" w:eastAsia="宋体" w:cs="宋体"/>
          <w:sz w:val="21"/>
          <w:szCs w:val="21"/>
        </w:rPr>
        <w:t xml:space="preserve">分）</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投标人具有</w:t>
      </w:r>
      <w:r>
        <w:rPr>
          <w:rFonts w:hint="eastAsia" w:ascii="宋体" w:hAnsi="宋体" w:eastAsia="宋体" w:cs="宋体"/>
          <w:sz w:val="21"/>
          <w:szCs w:val="21"/>
        </w:rPr>
        <w:t xml:space="preserve">有效期内的</w:t>
      </w:r>
      <w:r>
        <w:rPr>
          <w:rFonts w:hint="eastAsia" w:ascii="宋体" w:hAnsi="宋体" w:eastAsia="宋体" w:cs="宋体"/>
          <w:sz w:val="21"/>
          <w:szCs w:val="21"/>
        </w:rPr>
        <w:t xml:space="preserve">质量管理体系认证、环境管理体系认证、职业健康安全管理体系认证，每提供一个证书得</w:t>
      </w:r>
      <w:r>
        <w:rPr>
          <w:rFonts w:ascii="宋体" w:hAnsi="宋体" w:eastAsia="宋体" w:cs="宋体"/>
          <w:sz w:val="21"/>
          <w:szCs w:val="21"/>
        </w:rPr>
        <w:t xml:space="preserve">1</w:t>
      </w:r>
      <w:r>
        <w:rPr>
          <w:rFonts w:hint="eastAsia" w:ascii="宋体" w:hAnsi="宋体" w:eastAsia="宋体" w:cs="宋体"/>
          <w:sz w:val="21"/>
          <w:szCs w:val="21"/>
        </w:rPr>
        <w:t xml:space="preserve">分，本项共</w:t>
      </w:r>
      <w:r>
        <w:rPr>
          <w:rFonts w:ascii="宋体" w:hAnsi="宋体" w:eastAsia="宋体" w:cs="宋体"/>
          <w:sz w:val="21"/>
          <w:szCs w:val="21"/>
        </w:rPr>
        <w:t xml:space="preserve">3</w:t>
      </w:r>
      <w:r>
        <w:rPr>
          <w:rFonts w:hint="eastAsia" w:ascii="宋体" w:hAnsi="宋体" w:eastAsia="宋体" w:cs="宋体"/>
          <w:sz w:val="21"/>
          <w:szCs w:val="21"/>
        </w:rPr>
        <w:t xml:space="preserve">分。 注：投标文件中需提供认证证书扫描件及全国认证认可信息公共服务平台官网证书信息查询截图。</w:t>
      </w:r>
      <w:r/>
    </w:p>
    <w:p>
      <w:pPr>
        <w:ind w:firstLine="420"/>
        <w:jc w:val="left"/>
        <w:spacing w:line="400" w:lineRule="exact"/>
        <w:widowControl/>
        <w:rPr>
          <w:rFonts w:ascii="宋体" w:hAnsi="宋体" w:eastAsia="宋体" w:cs="宋体"/>
          <w:sz w:val="21"/>
          <w:szCs w:val="21"/>
        </w:rPr>
      </w:pPr>
      <w:r>
        <w:rPr>
          <w:rFonts w:ascii="宋体" w:hAnsi="宋体" w:eastAsia="宋体" w:cs="宋体"/>
          <w:sz w:val="21"/>
          <w:szCs w:val="21"/>
        </w:rPr>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注：超过采购预算价的投标人将不进入标书综合评审不得中标。</w:t>
      </w:r>
      <w:r/>
    </w:p>
    <w:p>
      <w:pPr>
        <w:ind w:firstLine="420"/>
        <w:jc w:val="right"/>
        <w:spacing w:line="360" w:lineRule="auto"/>
        <w:rPr>
          <w:rFonts w:ascii="宋体" w:hAnsi="宋体" w:eastAsia="宋体" w:cs="宋体"/>
          <w:sz w:val="21"/>
          <w:szCs w:val="21"/>
        </w:rPr>
      </w:pPr>
      <w:r>
        <w:rPr>
          <w:rFonts w:hint="eastAsia" w:ascii="宋体" w:hAnsi="宋体" w:eastAsia="宋体"/>
          <w:sz w:val="21"/>
          <w:szCs w:val="21"/>
        </w:rPr>
        <w:t xml:space="preserve">（全文完）</w:t>
      </w:r>
      <w:r/>
    </w:p>
    <w:p>
      <w:pPr>
        <w:rPr>
          <w:rFonts w:ascii="宋体" w:hAnsi="宋体" w:eastAsia="宋体"/>
        </w:rPr>
      </w:pPr>
      <w:r>
        <w:rPr>
          <w:rFonts w:hint="eastAsia" w:ascii="宋体" w:hAnsi="宋体" w:eastAsia="宋体"/>
        </w:rPr>
        <w:t xml:space="preserve"> </w:t>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alibri Light">
    <w:panose1 w:val="020F03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fldChar w:fldCharType="begin"/>
    </w:r>
    <w:r>
      <w:instrText xml:space="preserve">PAGE   \* MERGEFORMAT</w:instrText>
    </w:r>
    <w:r>
      <w:fldChar w:fldCharType="separate"/>
    </w:r>
    <w:r>
      <w:rPr>
        <w:lang w:val="zh-CN"/>
      </w:rPr>
      <w:t xml:space="preserve">4</w:t>
    </w:r>
    <w: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
    <w:multiLevelType w:val="hybridMultilevel"/>
    <w:lvl w:ilvl="0">
      <w:start w:val="1"/>
      <w:numFmt w:val="chineseCountingThousand"/>
      <w:isLgl w:val="false"/>
      <w:suff w:val="tab"/>
      <w:lvlText w:val="%1、"/>
      <w:lvlJc w:val="left"/>
      <w:pPr>
        <w:ind w:left="420" w:hanging="420"/>
        <w:tabs>
          <w:tab w:val="left" w:pos="420" w:leader="none"/>
        </w:tabs>
      </w:pPr>
      <w:rPr>
        <w:b/>
      </w:rPr>
    </w:lvl>
    <w:lvl w:ilvl="1">
      <w:start w:val="2"/>
      <w:numFmt w:val="decimal"/>
      <w:isLgl w:val="false"/>
      <w:suff w:val="tab"/>
      <w:lvlText w:val="%2．"/>
      <w:lvlJc w:val="left"/>
      <w:pPr>
        <w:ind w:left="780" w:hanging="360"/>
        <w:tabs>
          <w:tab w:val="left" w:pos="780" w:leader="none"/>
        </w:tabs>
      </w:pPr>
    </w:lvl>
    <w:lvl w:ilvl="2">
      <w:start w:val="1"/>
      <w:numFmt w:val="decimal"/>
      <w:isLgl w:val="false"/>
      <w:suff w:val="tab"/>
      <w:lvlText w:val="（%3）"/>
      <w:lvlJc w:val="left"/>
      <w:pPr>
        <w:ind w:left="1560" w:hanging="720"/>
        <w:tabs>
          <w:tab w:val="left" w:pos="1560" w:leader="none"/>
        </w:tabs>
      </w:pPr>
      <w:rPr>
        <w:lang w:val="en-US"/>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pStyle w:val="978"/>
      <w:isLgl w:val="false"/>
      <w:suff w:val="tab"/>
      <w:lvlText w:val="%1、"/>
      <w:lvlJc w:val="left"/>
      <w:pPr>
        <w:ind w:left="0" w:firstLine="0"/>
      </w:p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709" w:firstLine="0"/>
      </w:pPr>
    </w:lvl>
    <w:lvl w:ilvl="3">
      <w:start w:val="1"/>
      <w:numFmt w:val="decimal"/>
      <w:isLgl w:val="false"/>
      <w:suff w:val="tab"/>
      <w:lvlText w:val="(%4)"/>
      <w:lvlJc w:val="left"/>
      <w:pPr>
        <w:ind w:left="0" w:firstLine="0"/>
      </w:pPr>
    </w:lvl>
    <w:lvl w:ilvl="4">
      <w:start w:val="1"/>
      <w:numFmt w:val="decimal"/>
      <w:isLgl w:val="false"/>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5">
    <w:multiLevelType w:val="hybridMultilevel"/>
    <w:lvl w:ilvl="0">
      <w:start w:val="1"/>
      <w:numFmt w:val="chineseCountingThousand"/>
      <w:isLgl w:val="false"/>
      <w:suff w:val="tab"/>
      <w:lvlText w:val="第%1章"/>
      <w:lvlJc w:val="left"/>
      <w:pPr>
        <w:ind w:left="0" w:firstLine="0"/>
        <w:tabs>
          <w:tab w:val="left" w:pos="1418" w:leader="none"/>
        </w:tabs>
      </w:pPr>
      <w:rPr>
        <w:rFonts w:cs="Times New Roman"/>
      </w:rPr>
    </w:lvl>
    <w:lvl w:ilvl="1">
      <w:start w:val="1"/>
      <w:numFmt w:val="decimal"/>
      <w:isLgl w:val="false"/>
      <w:suff w:val="space"/>
      <w:lvlText w:val="%1.%2"/>
      <w:lvlJc w:val="left"/>
      <w:pPr>
        <w:ind w:left="0" w:firstLine="0"/>
        <w:tabs>
          <w:tab w:val="left" w:pos="0" w:leader="none"/>
        </w:tabs>
      </w:pPr>
      <w:rPr>
        <w:rFonts w:cs="Times New Roman"/>
      </w:rPr>
    </w:lvl>
    <w:lvl w:ilvl="2">
      <w:start w:val="1"/>
      <w:numFmt w:val="decimal"/>
      <w:pStyle w:val="966"/>
      <w:isLgl w:val="false"/>
      <w:suff w:val="space"/>
      <w:lvlText w:val="%1.%2.%3"/>
      <w:lvlJc w:val="left"/>
      <w:pPr>
        <w:ind w:left="0" w:firstLine="0"/>
        <w:tabs>
          <w:tab w:val="left" w:pos="0" w:leader="none"/>
        </w:tabs>
      </w:pPr>
      <w:rPr>
        <w:rFonts w:cs="Times New Roman"/>
      </w:rPr>
    </w:lvl>
    <w:lvl w:ilvl="3">
      <w:start w:val="1"/>
      <w:numFmt w:val="decimal"/>
      <w:isLgl w:val="false"/>
      <w:suff w:val="space"/>
      <w:lvlText w:val="%1.%2.%3.%4"/>
      <w:lvlJc w:val="left"/>
      <w:pPr>
        <w:ind w:left="0" w:firstLine="0"/>
        <w:tabs>
          <w:tab w:val="left" w:pos="0" w:leader="none"/>
        </w:tabs>
      </w:pPr>
      <w:rPr>
        <w:rFonts w:ascii="Times New Roman" w:hAnsi="Times New Roman" w:cs="Times New Roman"/>
      </w:rPr>
    </w:lvl>
    <w:lvl w:ilvl="4">
      <w:start w:val="1"/>
      <w:numFmt w:val="decimal"/>
      <w:isLgl w:val="false"/>
      <w:suff w:val="nothing"/>
      <w:lvlText w:val="%1.%2.%3.%4.%5"/>
      <w:lvlJc w:val="left"/>
      <w:pPr>
        <w:ind w:left="0" w:firstLine="0"/>
        <w:tabs>
          <w:tab w:val="left" w:pos="0" w:leader="none"/>
        </w:tabs>
      </w:pPr>
      <w:rPr>
        <w:rFonts w:cs="Times New Roman"/>
      </w:rPr>
    </w:lvl>
    <w:lvl w:ilvl="5">
      <w:start w:val="1"/>
      <w:numFmt w:val="decimal"/>
      <w:isLgl w:val="false"/>
      <w:suff w:val="nothing"/>
      <w:lvlText w:val="%1.%2.%3.%4.%5.%6"/>
      <w:lvlJc w:val="left"/>
      <w:pPr>
        <w:ind w:left="0" w:firstLine="0"/>
        <w:tabs>
          <w:tab w:val="left" w:pos="0" w:leader="none"/>
        </w:tabs>
      </w:pPr>
      <w:rPr>
        <w:rFonts w:cs="Times New Roman"/>
      </w:rPr>
    </w:lvl>
    <w:lvl w:ilvl="6">
      <w:start w:val="1"/>
      <w:numFmt w:val="decimal"/>
      <w:isLgl w:val="false"/>
      <w:suff w:val="nothing"/>
      <w:lvlText w:val="%1.%2.%3.%4.%5.%6.%7"/>
      <w:lvlJc w:val="left"/>
      <w:pPr>
        <w:ind w:left="0" w:firstLine="0"/>
        <w:tabs>
          <w:tab w:val="left" w:pos="0" w:leader="none"/>
        </w:tabs>
      </w:pPr>
      <w:rPr>
        <w:rFonts w:cs="Times New Roman"/>
      </w:rPr>
    </w:lvl>
    <w:lvl w:ilvl="7">
      <w:start w:val="1"/>
      <w:numFmt w:val="decimal"/>
      <w:isLgl w:val="false"/>
      <w:suff w:val="nothing"/>
      <w:lvlText w:val="%1.%2.%3.%4.%5.%6.%7.%8"/>
      <w:lvlJc w:val="left"/>
      <w:pPr>
        <w:ind w:left="0" w:firstLine="0"/>
        <w:tabs>
          <w:tab w:val="left" w:pos="0" w:leader="none"/>
        </w:tabs>
      </w:pPr>
      <w:rPr>
        <w:rFonts w:cs="Times New Roman"/>
      </w:rPr>
    </w:lvl>
    <w:lvl w:ilvl="8">
      <w:start w:val="1"/>
      <w:numFmt w:val="decimal"/>
      <w:isLgl w:val="false"/>
      <w:suff w:val="nothing"/>
      <w:lvlText w:val="%1.%2.%3.%4.%5.%6.%7.%8.%9"/>
      <w:lvlJc w:val="left"/>
      <w:pPr>
        <w:ind w:left="0" w:firstLine="0"/>
        <w:tabs>
          <w:tab w:val="left" w:pos="0" w:leader="none"/>
        </w:tabs>
      </w:pPr>
      <w:rPr>
        <w:rFonts w:cs="Times New Roman"/>
      </w:rPr>
    </w:lvl>
  </w:abstractNum>
  <w:abstractNum w:abstractNumId="6">
    <w:multiLevelType w:val="hybridMultilevel"/>
    <w:lvl w:ilvl="0">
      <w:start w:val="2"/>
      <w:numFmt w:val="decimal"/>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japaneseCounting"/>
      <w:isLgl w:val="false"/>
      <w:suff w:val="tab"/>
      <w:lvlText w:val="（%1）"/>
      <w:lvlJc w:val="left"/>
      <w:pPr>
        <w:ind w:left="1140" w:hanging="72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1134" w:hanging="567"/>
        <w:tabs>
          <w:tab w:val="left" w:pos="1134"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rPr>
        <w:b w:val="0"/>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num w:numId="1">
    <w:abstractNumId w:val="5"/>
  </w:num>
  <w:num w:numId="2">
    <w:abstractNumId w:val="4"/>
  </w:num>
  <w:num w:numId="3">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Quote Char"/>
    <w:link w:val="768"/>
    <w:uiPriority w:val="29"/>
    <w:rPr>
      <w:i/>
    </w:rPr>
  </w:style>
  <w:style w:type="character" w:styleId="677">
    <w:name w:val="Intense Quote Char"/>
    <w:link w:val="770"/>
    <w:uiPriority w:val="30"/>
    <w:rPr>
      <w:i/>
    </w:rPr>
  </w:style>
  <w:style w:type="table" w:styleId="678">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8">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9">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0">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1">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2">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4">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5">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6">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7">
    <w:name w:val="Footnote Text Char"/>
    <w:link w:val="736"/>
    <w:uiPriority w:val="99"/>
    <w:rPr>
      <w:sz w:val="18"/>
    </w:rPr>
  </w:style>
  <w:style w:type="character" w:styleId="698">
    <w:name w:val="Endnote Text Char"/>
    <w:link w:val="728"/>
    <w:uiPriority w:val="99"/>
    <w:rPr>
      <w:sz w:val="20"/>
    </w:rPr>
  </w:style>
  <w:style w:type="paragraph" w:styleId="699">
    <w:name w:val="TOC Heading"/>
    <w:uiPriority w:val="39"/>
    <w:unhideWhenUsed/>
  </w:style>
  <w:style w:type="paragraph" w:styleId="700" w:default="1">
    <w:name w:val="Normal"/>
    <w:next w:val="713"/>
    <w:qFormat/>
    <w:pPr>
      <w:jc w:val="both"/>
      <w:widowControl w:val="off"/>
    </w:pPr>
    <w:rPr>
      <w:rFonts w:eastAsia="楷体_GB2312"/>
      <w:sz w:val="28"/>
    </w:rPr>
  </w:style>
  <w:style w:type="paragraph" w:styleId="701">
    <w:name w:val="Heading 1"/>
    <w:basedOn w:val="700"/>
    <w:next w:val="700"/>
    <w:link w:val="904"/>
    <w:qFormat/>
    <w:pPr>
      <w:keepLines/>
      <w:keepNext/>
      <w:spacing w:before="340" w:after="330" w:line="576" w:lineRule="auto"/>
      <w:outlineLvl w:val="0"/>
    </w:pPr>
    <w:rPr>
      <w:b/>
      <w:bCs/>
      <w:sz w:val="44"/>
      <w:szCs w:val="44"/>
    </w:rPr>
  </w:style>
  <w:style w:type="paragraph" w:styleId="702">
    <w:name w:val="Heading 2"/>
    <w:basedOn w:val="700"/>
    <w:next w:val="700"/>
    <w:link w:val="905"/>
    <w:qFormat/>
    <w:pPr>
      <w:jc w:val="center"/>
      <w:keepLines/>
      <w:keepNext/>
      <w:outlineLvl w:val="1"/>
    </w:pPr>
    <w:rPr>
      <w:rFonts w:ascii="宋体" w:hAnsi="宋体" w:cs="宋体"/>
      <w:b/>
      <w:sz w:val="44"/>
    </w:rPr>
  </w:style>
  <w:style w:type="paragraph" w:styleId="703">
    <w:name w:val="Heading 3"/>
    <w:basedOn w:val="700"/>
    <w:next w:val="700"/>
    <w:link w:val="906"/>
    <w:qFormat/>
    <w:pPr>
      <w:jc w:val="center"/>
      <w:keepLines/>
      <w:keepNext/>
      <w:outlineLvl w:val="2"/>
    </w:pPr>
    <w:rPr>
      <w:b/>
      <w:sz w:val="32"/>
    </w:rPr>
  </w:style>
  <w:style w:type="paragraph" w:styleId="704">
    <w:name w:val="Heading 4"/>
    <w:basedOn w:val="700"/>
    <w:next w:val="700"/>
    <w:link w:val="907"/>
    <w:qFormat/>
    <w:pPr>
      <w:keepLines/>
      <w:keepNext/>
      <w:spacing w:before="280" w:after="290" w:line="374" w:lineRule="auto"/>
      <w:outlineLvl w:val="3"/>
    </w:pPr>
    <w:rPr>
      <w:rFonts w:ascii="Calibri Light" w:hAnsi="Calibri Light" w:eastAsia="宋体"/>
      <w:b/>
      <w:bCs/>
      <w:szCs w:val="28"/>
    </w:rPr>
  </w:style>
  <w:style w:type="paragraph" w:styleId="705">
    <w:name w:val="Heading 5"/>
    <w:basedOn w:val="700"/>
    <w:next w:val="700"/>
    <w:link w:val="908"/>
    <w:qFormat/>
    <w:pPr>
      <w:keepNext/>
      <w:outlineLvl w:val="4"/>
    </w:pPr>
    <w:rPr>
      <w:rFonts w:ascii="宋体" w:hAnsi="宋体" w:eastAsia="宋体" w:cs="宋体"/>
      <w:color w:val="000000"/>
    </w:rPr>
  </w:style>
  <w:style w:type="paragraph" w:styleId="706">
    <w:name w:val="Heading 6"/>
    <w:basedOn w:val="700"/>
    <w:next w:val="700"/>
    <w:link w:val="909"/>
    <w:qFormat/>
    <w:pPr>
      <w:keepNext/>
      <w:outlineLvl w:val="5"/>
    </w:pPr>
    <w:rPr>
      <w:rFonts w:ascii="宋体" w:hAnsi="宋体" w:eastAsia="宋体" w:cs="宋体"/>
    </w:rPr>
  </w:style>
  <w:style w:type="paragraph" w:styleId="707">
    <w:name w:val="Heading 7"/>
    <w:basedOn w:val="700"/>
    <w:next w:val="700"/>
    <w:link w:val="910"/>
    <w:uiPriority w:val="99"/>
    <w:qFormat/>
    <w:pPr>
      <w:keepLines/>
      <w:keepNext/>
      <w:spacing w:before="240" w:after="64" w:line="316" w:lineRule="auto"/>
      <w:outlineLvl w:val="6"/>
    </w:pPr>
    <w:rPr>
      <w:rFonts w:ascii="Calibri" w:hAnsi="Calibri" w:eastAsia="宋体"/>
      <w:b/>
      <w:sz w:val="24"/>
    </w:rPr>
  </w:style>
  <w:style w:type="paragraph" w:styleId="708">
    <w:name w:val="Heading 8"/>
    <w:basedOn w:val="700"/>
    <w:next w:val="700"/>
    <w:link w:val="911"/>
    <w:uiPriority w:val="99"/>
    <w:qFormat/>
    <w:pPr>
      <w:keepLines/>
      <w:keepNext/>
      <w:spacing w:before="240" w:after="64" w:line="316" w:lineRule="auto"/>
      <w:outlineLvl w:val="7"/>
    </w:pPr>
    <w:rPr>
      <w:rFonts w:ascii="Arial" w:hAnsi="Arial" w:eastAsia="黑体"/>
      <w:sz w:val="24"/>
    </w:rPr>
  </w:style>
  <w:style w:type="paragraph" w:styleId="709">
    <w:name w:val="Heading 9"/>
    <w:basedOn w:val="700"/>
    <w:next w:val="700"/>
    <w:link w:val="912"/>
    <w:uiPriority w:val="99"/>
    <w:qFormat/>
    <w:pPr>
      <w:keepLines/>
      <w:keepNext/>
      <w:spacing w:before="240" w:after="64" w:line="316" w:lineRule="auto"/>
      <w:outlineLvl w:val="8"/>
    </w:pPr>
    <w:rPr>
      <w:rFonts w:ascii="Arial" w:hAnsi="Arial" w:eastAsia="黑体"/>
      <w:sz w:val="20"/>
    </w:rPr>
  </w:style>
  <w:style w:type="character" w:styleId="710" w:default="1">
    <w:name w:val="Default Paragraph Font"/>
    <w:uiPriority w:val="1"/>
    <w:semiHidden/>
    <w:unhideWhenUsed/>
  </w:style>
  <w:style w:type="table" w:styleId="711" w:default="1">
    <w:name w:val="Normal Table"/>
    <w:uiPriority w:val="99"/>
    <w:semiHidden/>
    <w:unhideWhenUsed/>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name w:val="Body Text"/>
    <w:basedOn w:val="700"/>
    <w:link w:val="903"/>
    <w:uiPriority w:val="99"/>
    <w:unhideWhenUsed/>
    <w:qFormat/>
    <w:pPr>
      <w:spacing w:after="120"/>
    </w:pPr>
  </w:style>
  <w:style w:type="paragraph" w:styleId="714">
    <w:name w:val="List 3"/>
    <w:basedOn w:val="700"/>
    <w:uiPriority w:val="99"/>
    <w:unhideWhenUsed/>
    <w:qFormat/>
    <w:pPr>
      <w:ind w:left="100" w:hanging="200"/>
    </w:pPr>
    <w:rPr>
      <w:sz w:val="26"/>
    </w:rPr>
  </w:style>
  <w:style w:type="paragraph" w:styleId="715">
    <w:name w:val="toc 7"/>
    <w:basedOn w:val="700"/>
    <w:next w:val="700"/>
    <w:uiPriority w:val="39"/>
    <w:unhideWhenUsed/>
    <w:pPr>
      <w:ind w:left="1701"/>
      <w:spacing w:after="57"/>
    </w:pPr>
  </w:style>
  <w:style w:type="paragraph" w:styleId="716">
    <w:name w:val="Normal Indent"/>
    <w:basedOn w:val="700"/>
    <w:next w:val="700"/>
    <w:link w:val="913"/>
    <w:unhideWhenUsed/>
    <w:qFormat/>
    <w:pPr>
      <w:ind w:firstLine="420"/>
      <w:jc w:val="left"/>
    </w:pPr>
    <w:rPr>
      <w:sz w:val="24"/>
      <w:szCs w:val="22"/>
    </w:rPr>
  </w:style>
  <w:style w:type="paragraph" w:styleId="717">
    <w:name w:val="Caption"/>
    <w:basedOn w:val="700"/>
    <w:next w:val="700"/>
    <w:uiPriority w:val="35"/>
    <w:semiHidden/>
    <w:unhideWhenUsed/>
    <w:qFormat/>
    <w:pPr>
      <w:spacing w:line="276" w:lineRule="auto"/>
    </w:pPr>
    <w:rPr>
      <w:b/>
      <w:bCs/>
      <w:color w:val="4f81bd"/>
      <w:sz w:val="18"/>
      <w:szCs w:val="18"/>
    </w:rPr>
  </w:style>
  <w:style w:type="paragraph" w:styleId="718">
    <w:name w:val="Document Map"/>
    <w:basedOn w:val="700"/>
    <w:link w:val="914"/>
    <w:uiPriority w:val="99"/>
    <w:unhideWhenUsed/>
    <w:qFormat/>
    <w:pPr>
      <w:shd w:val="clear" w:color="auto" w:fill="000080"/>
    </w:pPr>
  </w:style>
  <w:style w:type="paragraph" w:styleId="719">
    <w:name w:val="annotation text"/>
    <w:basedOn w:val="700"/>
    <w:link w:val="915"/>
    <w:uiPriority w:val="99"/>
    <w:unhideWhenUsed/>
    <w:qFormat/>
    <w:pPr>
      <w:jc w:val="left"/>
    </w:pPr>
  </w:style>
  <w:style w:type="paragraph" w:styleId="720">
    <w:name w:val="Body Text Indent"/>
    <w:basedOn w:val="700"/>
    <w:next w:val="700"/>
    <w:link w:val="916"/>
    <w:uiPriority w:val="99"/>
    <w:unhideWhenUsed/>
    <w:qFormat/>
    <w:pPr>
      <w:ind w:left="420"/>
      <w:spacing w:after="120"/>
    </w:pPr>
  </w:style>
  <w:style w:type="paragraph" w:styleId="721">
    <w:name w:val="List 2"/>
    <w:basedOn w:val="700"/>
    <w:uiPriority w:val="99"/>
    <w:unhideWhenUsed/>
    <w:qFormat/>
    <w:pPr>
      <w:ind w:left="100" w:hanging="200"/>
    </w:pPr>
    <w:rPr>
      <w:rFonts w:eastAsia="宋体"/>
      <w:sz w:val="21"/>
      <w:szCs w:val="24"/>
    </w:rPr>
  </w:style>
  <w:style w:type="paragraph" w:styleId="722">
    <w:name w:val="toc 5"/>
    <w:basedOn w:val="700"/>
    <w:next w:val="700"/>
    <w:uiPriority w:val="39"/>
    <w:unhideWhenUsed/>
    <w:pPr>
      <w:ind w:left="1134"/>
      <w:spacing w:after="57"/>
    </w:pPr>
  </w:style>
  <w:style w:type="paragraph" w:styleId="723">
    <w:name w:val="toc 3"/>
    <w:basedOn w:val="700"/>
    <w:next w:val="700"/>
    <w:uiPriority w:val="39"/>
    <w:unhideWhenUsed/>
    <w:pPr>
      <w:ind w:left="567"/>
      <w:spacing w:after="57"/>
    </w:pPr>
  </w:style>
  <w:style w:type="paragraph" w:styleId="724">
    <w:name w:val="Plain Text"/>
    <w:basedOn w:val="700"/>
    <w:link w:val="917"/>
    <w:unhideWhenUsed/>
    <w:qFormat/>
    <w:rPr>
      <w:rFonts w:ascii="宋体" w:hAnsi="Courier New"/>
    </w:rPr>
  </w:style>
  <w:style w:type="paragraph" w:styleId="725">
    <w:name w:val="toc 8"/>
    <w:basedOn w:val="700"/>
    <w:next w:val="700"/>
    <w:uiPriority w:val="39"/>
    <w:unhideWhenUsed/>
    <w:pPr>
      <w:ind w:left="1984"/>
      <w:spacing w:after="57"/>
    </w:pPr>
  </w:style>
  <w:style w:type="paragraph" w:styleId="726">
    <w:name w:val="Date"/>
    <w:basedOn w:val="700"/>
    <w:next w:val="700"/>
    <w:link w:val="918"/>
    <w:uiPriority w:val="99"/>
    <w:unhideWhenUsed/>
    <w:qFormat/>
    <w:rPr>
      <w:rFonts w:ascii="宋体" w:hAnsi="宋体"/>
      <w:sz w:val="24"/>
    </w:rPr>
  </w:style>
  <w:style w:type="paragraph" w:styleId="727">
    <w:name w:val="Body Text Indent 2"/>
    <w:basedOn w:val="700"/>
    <w:link w:val="919"/>
    <w:uiPriority w:val="99"/>
    <w:unhideWhenUsed/>
    <w:qFormat/>
    <w:pPr>
      <w:ind w:left="420"/>
      <w:spacing w:after="120" w:line="480" w:lineRule="auto"/>
    </w:pPr>
  </w:style>
  <w:style w:type="paragraph" w:styleId="728">
    <w:name w:val="endnote text"/>
    <w:basedOn w:val="700"/>
    <w:link w:val="901"/>
    <w:uiPriority w:val="99"/>
    <w:semiHidden/>
    <w:unhideWhenUsed/>
    <w:rPr>
      <w:sz w:val="20"/>
    </w:rPr>
  </w:style>
  <w:style w:type="paragraph" w:styleId="729">
    <w:name w:val="Balloon Text"/>
    <w:basedOn w:val="700"/>
    <w:link w:val="920"/>
    <w:uiPriority w:val="99"/>
    <w:unhideWhenUsed/>
    <w:qFormat/>
    <w:rPr>
      <w:rFonts w:ascii="Calibri" w:hAnsi="Calibri" w:eastAsia="宋体"/>
      <w:sz w:val="18"/>
      <w:szCs w:val="18"/>
    </w:rPr>
  </w:style>
  <w:style w:type="paragraph" w:styleId="730">
    <w:name w:val="Footer"/>
    <w:basedOn w:val="700"/>
    <w:link w:val="921"/>
    <w:uiPriority w:val="99"/>
    <w:unhideWhenUsed/>
    <w:qFormat/>
    <w:pPr>
      <w:jc w:val="left"/>
      <w:tabs>
        <w:tab w:val="center" w:pos="4153" w:leader="none"/>
        <w:tab w:val="right" w:pos="8306" w:leader="none"/>
      </w:tabs>
    </w:pPr>
    <w:rPr>
      <w:sz w:val="18"/>
      <w:szCs w:val="18"/>
    </w:rPr>
  </w:style>
  <w:style w:type="paragraph" w:styleId="731">
    <w:name w:val="envelope return"/>
    <w:basedOn w:val="700"/>
    <w:uiPriority w:val="99"/>
    <w:unhideWhenUsed/>
    <w:qFormat/>
    <w:rPr>
      <w:rFonts w:ascii="Arial" w:hAnsi="Arial"/>
      <w:sz w:val="26"/>
    </w:rPr>
  </w:style>
  <w:style w:type="paragraph" w:styleId="732">
    <w:name w:val="Header"/>
    <w:basedOn w:val="700"/>
    <w:link w:val="92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33">
    <w:name w:val="toc 1"/>
    <w:basedOn w:val="700"/>
    <w:next w:val="700"/>
    <w:uiPriority w:val="39"/>
    <w:unhideWhenUsed/>
    <w:qFormat/>
    <w:pPr>
      <w:spacing w:line="360" w:lineRule="auto"/>
      <w:tabs>
        <w:tab w:val="right" w:pos="9006" w:leader="dot"/>
      </w:tabs>
    </w:pPr>
    <w:rPr>
      <w:rFonts w:ascii="宋体" w:hAnsi="宋体"/>
      <w:color w:val="000000"/>
      <w:sz w:val="24"/>
      <w:szCs w:val="24"/>
    </w:rPr>
  </w:style>
  <w:style w:type="paragraph" w:styleId="734">
    <w:name w:val="toc 4"/>
    <w:basedOn w:val="700"/>
    <w:next w:val="700"/>
    <w:uiPriority w:val="99"/>
    <w:unhideWhenUsed/>
    <w:qFormat/>
    <w:pPr>
      <w:ind w:left="1260"/>
    </w:pPr>
  </w:style>
  <w:style w:type="paragraph" w:styleId="735">
    <w:name w:val="Subtitle"/>
    <w:basedOn w:val="700"/>
    <w:next w:val="700"/>
    <w:link w:val="923"/>
    <w:uiPriority w:val="99"/>
    <w:qFormat/>
    <w:pPr>
      <w:jc w:val="center"/>
      <w:spacing w:before="240" w:after="60" w:line="312" w:lineRule="auto"/>
      <w:outlineLvl w:val="1"/>
    </w:pPr>
    <w:rPr>
      <w:rFonts w:ascii="Cambria" w:hAnsi="Cambria" w:eastAsia="宋体"/>
      <w:b/>
      <w:bCs/>
      <w:sz w:val="32"/>
      <w:szCs w:val="32"/>
    </w:rPr>
  </w:style>
  <w:style w:type="paragraph" w:styleId="736">
    <w:name w:val="footnote text"/>
    <w:basedOn w:val="700"/>
    <w:link w:val="900"/>
    <w:uiPriority w:val="99"/>
    <w:semiHidden/>
    <w:unhideWhenUsed/>
    <w:pPr>
      <w:spacing w:after="40"/>
    </w:pPr>
    <w:rPr>
      <w:sz w:val="18"/>
    </w:rPr>
  </w:style>
  <w:style w:type="paragraph" w:styleId="737">
    <w:name w:val="toc 6"/>
    <w:basedOn w:val="700"/>
    <w:next w:val="700"/>
    <w:uiPriority w:val="39"/>
    <w:unhideWhenUsed/>
    <w:pPr>
      <w:ind w:left="1417"/>
      <w:spacing w:after="57"/>
    </w:pPr>
  </w:style>
  <w:style w:type="paragraph" w:styleId="738">
    <w:name w:val="Body Text Indent 3"/>
    <w:basedOn w:val="700"/>
    <w:link w:val="924"/>
    <w:uiPriority w:val="99"/>
    <w:unhideWhenUsed/>
    <w:qFormat/>
    <w:pPr>
      <w:ind w:left="420"/>
      <w:spacing w:after="120"/>
    </w:pPr>
    <w:rPr>
      <w:sz w:val="16"/>
      <w:szCs w:val="16"/>
    </w:rPr>
  </w:style>
  <w:style w:type="paragraph" w:styleId="739">
    <w:name w:val="table of figures"/>
    <w:basedOn w:val="700"/>
    <w:next w:val="700"/>
    <w:uiPriority w:val="99"/>
    <w:unhideWhenUsed/>
  </w:style>
  <w:style w:type="paragraph" w:styleId="740">
    <w:name w:val="toc 2"/>
    <w:basedOn w:val="700"/>
    <w:next w:val="700"/>
    <w:uiPriority w:val="39"/>
    <w:unhideWhenUsed/>
    <w:qFormat/>
    <w:pPr>
      <w:ind w:left="420"/>
    </w:pPr>
  </w:style>
  <w:style w:type="paragraph" w:styleId="741">
    <w:name w:val="toc 9"/>
    <w:basedOn w:val="700"/>
    <w:next w:val="700"/>
    <w:uiPriority w:val="99"/>
    <w:unhideWhenUsed/>
    <w:qFormat/>
    <w:pPr>
      <w:ind w:left="3360"/>
    </w:pPr>
  </w:style>
  <w:style w:type="paragraph" w:styleId="742">
    <w:name w:val="Body Text 2"/>
    <w:basedOn w:val="700"/>
    <w:link w:val="925"/>
    <w:uiPriority w:val="99"/>
    <w:unhideWhenUsed/>
    <w:qFormat/>
    <w:pPr>
      <w:spacing w:after="120" w:line="480" w:lineRule="auto"/>
    </w:pPr>
    <w:rPr>
      <w:rFonts w:ascii="Calibri" w:hAnsi="Calibri" w:eastAsia="宋体"/>
      <w:sz w:val="21"/>
      <w:szCs w:val="22"/>
    </w:rPr>
  </w:style>
  <w:style w:type="paragraph" w:styleId="743">
    <w:name w:val="HTML Preformatted"/>
    <w:basedOn w:val="700"/>
    <w:link w:val="926"/>
    <w:unhideWhenUsed/>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44">
    <w:name w:val="Normal (Web)"/>
    <w:basedOn w:val="700"/>
    <w:unhideWhenUsed/>
    <w:qFormat/>
    <w:pPr>
      <w:jc w:val="left"/>
      <w:spacing w:before="100" w:beforeAutospacing="1" w:after="100" w:afterAutospacing="1"/>
      <w:widowControl/>
    </w:pPr>
    <w:rPr>
      <w:rFonts w:ascii="宋体" w:hAnsi="宋体" w:eastAsia="宋体"/>
      <w:sz w:val="24"/>
      <w:szCs w:val="24"/>
    </w:rPr>
  </w:style>
  <w:style w:type="paragraph" w:styleId="745">
    <w:name w:val="index 1"/>
    <w:basedOn w:val="700"/>
    <w:next w:val="700"/>
    <w:uiPriority w:val="99"/>
    <w:unhideWhenUsed/>
    <w:qFormat/>
  </w:style>
  <w:style w:type="paragraph" w:styleId="746">
    <w:name w:val="Title"/>
    <w:basedOn w:val="700"/>
    <w:next w:val="700"/>
    <w:link w:val="927"/>
    <w:uiPriority w:val="99"/>
    <w:qFormat/>
    <w:pPr>
      <w:jc w:val="center"/>
      <w:spacing w:before="240" w:after="60"/>
      <w:outlineLvl w:val="0"/>
    </w:pPr>
    <w:rPr>
      <w:rFonts w:ascii="Cambria" w:hAnsi="Cambria" w:eastAsia="宋体"/>
      <w:b/>
      <w:bCs/>
      <w:sz w:val="32"/>
      <w:szCs w:val="32"/>
    </w:rPr>
  </w:style>
  <w:style w:type="paragraph" w:styleId="747">
    <w:name w:val="annotation subject"/>
    <w:basedOn w:val="719"/>
    <w:next w:val="719"/>
    <w:link w:val="928"/>
    <w:uiPriority w:val="99"/>
    <w:unhideWhenUsed/>
    <w:qFormat/>
    <w:rPr>
      <w:b/>
      <w:bCs/>
    </w:rPr>
  </w:style>
  <w:style w:type="paragraph" w:styleId="748">
    <w:name w:val="Body Text First Indent"/>
    <w:basedOn w:val="713"/>
    <w:link w:val="929"/>
    <w:uiPriority w:val="99"/>
    <w:unhideWhenUsed/>
    <w:qFormat/>
    <w:pPr>
      <w:ind w:firstLine="420"/>
      <w:jc w:val="left"/>
      <w:spacing w:after="0" w:line="360" w:lineRule="auto"/>
      <w:widowControl/>
    </w:pPr>
    <w:rPr>
      <w:rFonts w:ascii="宋体" w:hAnsi="宋体" w:eastAsia="宋体"/>
      <w:sz w:val="21"/>
      <w:szCs w:val="24"/>
    </w:rPr>
  </w:style>
  <w:style w:type="paragraph" w:styleId="749">
    <w:name w:val="Body Text First Indent 2"/>
    <w:basedOn w:val="720"/>
    <w:link w:val="930"/>
    <w:uiPriority w:val="99"/>
    <w:unhideWhenUsed/>
    <w:qFormat/>
    <w:pPr>
      <w:ind w:firstLine="420"/>
    </w:pPr>
    <w:rPr>
      <w:rFonts w:hAnsi="宋体"/>
    </w:rPr>
  </w:style>
  <w:style w:type="table" w:styleId="750">
    <w:name w:val="Table Grid"/>
    <w:basedOn w:val="7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endnote reference"/>
    <w:uiPriority w:val="99"/>
    <w:semiHidden/>
    <w:unhideWhenUsed/>
    <w:rPr>
      <w:vertAlign w:val="superscript"/>
    </w:rPr>
  </w:style>
  <w:style w:type="character" w:styleId="752">
    <w:name w:val="Hyperlink"/>
    <w:uiPriority w:val="99"/>
    <w:unhideWhenUsed/>
    <w:qFormat/>
    <w:rPr>
      <w:color w:val="0000ff"/>
      <w:u w:val="single"/>
    </w:rPr>
  </w:style>
  <w:style w:type="character" w:styleId="753">
    <w:name w:val="annotation reference"/>
    <w:uiPriority w:val="99"/>
    <w:unhideWhenUsed/>
    <w:qFormat/>
    <w:rPr>
      <w:sz w:val="21"/>
      <w:szCs w:val="21"/>
    </w:rPr>
  </w:style>
  <w:style w:type="character" w:styleId="754">
    <w:name w:val="footnote reference"/>
    <w:unhideWhenUsed/>
    <w:qFormat/>
    <w:rPr>
      <w:vertAlign w:val="superscript"/>
    </w:rPr>
  </w:style>
  <w:style w:type="character" w:styleId="755" w:customStyle="1">
    <w:name w:val="Heading 1 Char"/>
    <w:uiPriority w:val="9"/>
    <w:rPr>
      <w:rFonts w:ascii="Arial" w:hAnsi="Arial" w:eastAsia="Arial" w:cs="Arial"/>
      <w:sz w:val="40"/>
      <w:szCs w:val="40"/>
    </w:rPr>
  </w:style>
  <w:style w:type="character" w:styleId="756" w:customStyle="1">
    <w:name w:val="Heading 2 Char"/>
    <w:uiPriority w:val="9"/>
    <w:rPr>
      <w:rFonts w:ascii="Arial" w:hAnsi="Arial" w:eastAsia="Arial" w:cs="Arial"/>
      <w:sz w:val="34"/>
    </w:rPr>
  </w:style>
  <w:style w:type="character" w:styleId="757" w:customStyle="1">
    <w:name w:val="Heading 3 Char"/>
    <w:uiPriority w:val="9"/>
    <w:rPr>
      <w:rFonts w:ascii="Arial" w:hAnsi="Arial" w:eastAsia="Arial" w:cs="Arial"/>
      <w:sz w:val="30"/>
      <w:szCs w:val="30"/>
    </w:rPr>
  </w:style>
  <w:style w:type="character" w:styleId="758" w:customStyle="1">
    <w:name w:val="Heading 4 Char"/>
    <w:uiPriority w:val="9"/>
    <w:rPr>
      <w:rFonts w:ascii="Arial" w:hAnsi="Arial" w:eastAsia="Arial" w:cs="Arial"/>
      <w:b/>
      <w:bCs/>
      <w:sz w:val="26"/>
      <w:szCs w:val="26"/>
    </w:rPr>
  </w:style>
  <w:style w:type="character" w:styleId="759" w:customStyle="1">
    <w:name w:val="Heading 5 Char"/>
    <w:uiPriority w:val="9"/>
    <w:rPr>
      <w:rFonts w:ascii="Arial" w:hAnsi="Arial" w:eastAsia="Arial" w:cs="Arial"/>
      <w:b/>
      <w:bCs/>
      <w:sz w:val="24"/>
      <w:szCs w:val="24"/>
    </w:rPr>
  </w:style>
  <w:style w:type="character" w:styleId="760" w:customStyle="1">
    <w:name w:val="Heading 6 Char"/>
    <w:uiPriority w:val="9"/>
    <w:rPr>
      <w:rFonts w:ascii="Arial" w:hAnsi="Arial" w:eastAsia="Arial" w:cs="Arial"/>
      <w:b/>
      <w:bCs/>
      <w:sz w:val="22"/>
      <w:szCs w:val="22"/>
    </w:rPr>
  </w:style>
  <w:style w:type="character" w:styleId="761" w:customStyle="1">
    <w:name w:val="Heading 7 Char"/>
    <w:uiPriority w:val="9"/>
    <w:rPr>
      <w:rFonts w:ascii="Arial" w:hAnsi="Arial" w:eastAsia="Arial" w:cs="Arial"/>
      <w:b/>
      <w:bCs/>
      <w:i/>
      <w:iCs/>
      <w:sz w:val="22"/>
      <w:szCs w:val="22"/>
    </w:rPr>
  </w:style>
  <w:style w:type="character" w:styleId="762" w:customStyle="1">
    <w:name w:val="Heading 8 Char"/>
    <w:uiPriority w:val="9"/>
    <w:rPr>
      <w:rFonts w:ascii="Arial" w:hAnsi="Arial" w:eastAsia="Arial" w:cs="Arial"/>
      <w:i/>
      <w:iCs/>
      <w:sz w:val="22"/>
      <w:szCs w:val="22"/>
    </w:rPr>
  </w:style>
  <w:style w:type="character" w:styleId="763" w:customStyle="1">
    <w:name w:val="Heading 9 Char"/>
    <w:uiPriority w:val="9"/>
    <w:rPr>
      <w:rFonts w:ascii="Arial" w:hAnsi="Arial" w:eastAsia="Arial" w:cs="Arial"/>
      <w:i/>
      <w:iCs/>
      <w:sz w:val="21"/>
      <w:szCs w:val="21"/>
    </w:rPr>
  </w:style>
  <w:style w:type="paragraph" w:styleId="764">
    <w:name w:val="List Paragraph"/>
    <w:basedOn w:val="700"/>
    <w:link w:val="934"/>
    <w:uiPriority w:val="34"/>
    <w:qFormat/>
    <w:pPr>
      <w:ind w:firstLine="420"/>
    </w:pPr>
    <w:rPr>
      <w:rFonts w:ascii="等线" w:hAnsi="等线" w:eastAsia="等线"/>
      <w:sz w:val="21"/>
      <w:szCs w:val="22"/>
    </w:rPr>
  </w:style>
  <w:style w:type="paragraph" w:styleId="765">
    <w:name w:val="No Spacing"/>
    <w:uiPriority w:val="1"/>
    <w:qFormat/>
  </w:style>
  <w:style w:type="character" w:styleId="766" w:customStyle="1">
    <w:name w:val="Title Char"/>
    <w:uiPriority w:val="10"/>
    <w:rPr>
      <w:sz w:val="48"/>
      <w:szCs w:val="48"/>
    </w:rPr>
  </w:style>
  <w:style w:type="character" w:styleId="767" w:customStyle="1">
    <w:name w:val="Subtitle Char"/>
    <w:uiPriority w:val="11"/>
    <w:rPr>
      <w:sz w:val="24"/>
      <w:szCs w:val="24"/>
    </w:rPr>
  </w:style>
  <w:style w:type="paragraph" w:styleId="768">
    <w:name w:val="Quote"/>
    <w:basedOn w:val="700"/>
    <w:next w:val="700"/>
    <w:link w:val="769"/>
    <w:uiPriority w:val="29"/>
    <w:qFormat/>
    <w:pPr>
      <w:ind w:left="720" w:right="720"/>
    </w:pPr>
    <w:rPr>
      <w:i/>
    </w:rPr>
  </w:style>
  <w:style w:type="character" w:styleId="769" w:customStyle="1">
    <w:name w:val="引用 字符"/>
    <w:link w:val="768"/>
    <w:uiPriority w:val="29"/>
    <w:rPr>
      <w:i/>
    </w:rPr>
  </w:style>
  <w:style w:type="paragraph" w:styleId="770">
    <w:name w:val="Intense Quote"/>
    <w:basedOn w:val="700"/>
    <w:next w:val="700"/>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rPr>
      <w:i/>
    </w:rPr>
  </w:style>
  <w:style w:type="character" w:styleId="772" w:customStyle="1">
    <w:name w:val="Header Char"/>
    <w:uiPriority w:val="99"/>
  </w:style>
  <w:style w:type="character" w:styleId="773" w:customStyle="1">
    <w:name w:val="Footer Char"/>
    <w:uiPriority w:val="99"/>
  </w:style>
  <w:style w:type="character" w:styleId="774" w:customStyle="1">
    <w:name w:val="Caption Char"/>
    <w:uiPriority w:val="99"/>
  </w:style>
  <w:style w:type="table" w:styleId="775"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6"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7"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8" w:customStyle="1">
    <w:name w:val="无格式表格 31"/>
    <w:uiPriority w:val="99"/>
    <w:tblPr>
      <w:tblCellMar>
        <w:left w:w="0" w:type="dxa"/>
        <w:top w:w="0" w:type="dxa"/>
        <w:right w:w="0" w:type="dxa"/>
        <w:bottom w:w="0" w:type="dxa"/>
      </w:tblCellMar>
    </w:tblPr>
  </w:style>
  <w:style w:type="table" w:styleId="779" w:customStyle="1">
    <w:name w:val="无格式表格 41"/>
    <w:uiPriority w:val="99"/>
    <w:tblPr>
      <w:tblCellMar>
        <w:left w:w="0" w:type="dxa"/>
        <w:top w:w="0" w:type="dxa"/>
        <w:right w:w="0" w:type="dxa"/>
        <w:bottom w:w="0" w:type="dxa"/>
      </w:tblCellMar>
    </w:tblPr>
  </w:style>
  <w:style w:type="table" w:styleId="780" w:customStyle="1">
    <w:name w:val="无格式表格 51"/>
    <w:uiPriority w:val="99"/>
    <w:tblPr>
      <w:tblCellMar>
        <w:left w:w="0" w:type="dxa"/>
        <w:top w:w="0" w:type="dxa"/>
        <w:right w:w="0" w:type="dxa"/>
        <w:bottom w:w="0" w:type="dxa"/>
      </w:tblCellMar>
    </w:tblPr>
  </w:style>
  <w:style w:type="table" w:styleId="781"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2"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3"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4"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5"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6"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7"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8"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9"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0"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3"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4"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5"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6"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7"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8"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9"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7"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8"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清单表 1 浅色1"/>
    <w:uiPriority w:val="99"/>
    <w:tblPr>
      <w:tblCellMar>
        <w:left w:w="0" w:type="dxa"/>
        <w:top w:w="0" w:type="dxa"/>
        <w:right w:w="0" w:type="dxa"/>
        <w:bottom w:w="0" w:type="dxa"/>
      </w:tblCellMar>
    </w:tblPr>
  </w:style>
  <w:style w:type="table" w:styleId="831" w:customStyle="1">
    <w:name w:val="List Table 1 Light - Accent 1"/>
    <w:uiPriority w:val="99"/>
    <w:tblPr>
      <w:tblCellMar>
        <w:left w:w="0" w:type="dxa"/>
        <w:top w:w="0" w:type="dxa"/>
        <w:right w:w="0" w:type="dxa"/>
        <w:bottom w:w="0" w:type="dxa"/>
      </w:tblCellMar>
    </w:tblPr>
  </w:style>
  <w:style w:type="table" w:styleId="832" w:customStyle="1">
    <w:name w:val="List Table 1 Light - Accent 2"/>
    <w:uiPriority w:val="99"/>
    <w:tblPr>
      <w:tblCellMar>
        <w:left w:w="0" w:type="dxa"/>
        <w:top w:w="0" w:type="dxa"/>
        <w:right w:w="0" w:type="dxa"/>
        <w:bottom w:w="0" w:type="dxa"/>
      </w:tblCellMar>
    </w:tblPr>
  </w:style>
  <w:style w:type="table" w:styleId="833" w:customStyle="1">
    <w:name w:val="List Table 1 Light - Accent 3"/>
    <w:uiPriority w:val="99"/>
    <w:tblPr>
      <w:tblCellMar>
        <w:left w:w="0" w:type="dxa"/>
        <w:top w:w="0" w:type="dxa"/>
        <w:right w:w="0" w:type="dxa"/>
        <w:bottom w:w="0" w:type="dxa"/>
      </w:tblCellMar>
    </w:tblPr>
  </w:style>
  <w:style w:type="table" w:styleId="834" w:customStyle="1">
    <w:name w:val="List Table 1 Light - Accent 4"/>
    <w:uiPriority w:val="99"/>
    <w:tblPr>
      <w:tblCellMar>
        <w:left w:w="0" w:type="dxa"/>
        <w:top w:w="0" w:type="dxa"/>
        <w:right w:w="0" w:type="dxa"/>
        <w:bottom w:w="0" w:type="dxa"/>
      </w:tblCellMar>
    </w:tblPr>
  </w:style>
  <w:style w:type="table" w:styleId="835" w:customStyle="1">
    <w:name w:val="List Table 1 Light - Accent 5"/>
    <w:uiPriority w:val="99"/>
    <w:tblPr>
      <w:tblCellMar>
        <w:left w:w="0" w:type="dxa"/>
        <w:top w:w="0" w:type="dxa"/>
        <w:right w:w="0" w:type="dxa"/>
        <w:bottom w:w="0" w:type="dxa"/>
      </w:tblCellMar>
    </w:tblPr>
  </w:style>
  <w:style w:type="table" w:styleId="836" w:customStyle="1">
    <w:name w:val="List Table 1 Light - Accent 6"/>
    <w:uiPriority w:val="99"/>
    <w:tblPr>
      <w:tblCellMar>
        <w:left w:w="0" w:type="dxa"/>
        <w:top w:w="0" w:type="dxa"/>
        <w:right w:w="0" w:type="dxa"/>
        <w:bottom w:w="0" w:type="dxa"/>
      </w:tblCellMar>
    </w:tblPr>
  </w:style>
  <w:style w:type="table" w:styleId="837"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8"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9"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0"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1"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3"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4"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5"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6"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7"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8"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9"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0"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1"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2"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3"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4"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5"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6"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7"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8"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9"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0"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1"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2"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3"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4"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5"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66"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67"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68"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69"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70"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71"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72"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873"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74"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75"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76"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77"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878"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879" w:customStyle="1">
    <w:name w:val="Lined - Accent"/>
    <w:uiPriority w:val="99"/>
    <w:rPr>
      <w:color w:val="404040"/>
    </w:rPr>
    <w:tblPr>
      <w:tblCellMar>
        <w:left w:w="0" w:type="dxa"/>
        <w:top w:w="0" w:type="dxa"/>
        <w:right w:w="0" w:type="dxa"/>
        <w:bottom w:w="0" w:type="dxa"/>
      </w:tblCellMar>
    </w:tblPr>
  </w:style>
  <w:style w:type="table" w:styleId="880" w:customStyle="1">
    <w:name w:val="Lined - Accent 1"/>
    <w:uiPriority w:val="99"/>
    <w:rPr>
      <w:color w:val="404040"/>
    </w:rPr>
    <w:tblPr>
      <w:tblCellMar>
        <w:left w:w="0" w:type="dxa"/>
        <w:top w:w="0" w:type="dxa"/>
        <w:right w:w="0" w:type="dxa"/>
        <w:bottom w:w="0" w:type="dxa"/>
      </w:tblCellMar>
    </w:tblPr>
  </w:style>
  <w:style w:type="table" w:styleId="881" w:customStyle="1">
    <w:name w:val="Lined - Accent 2"/>
    <w:uiPriority w:val="99"/>
    <w:rPr>
      <w:color w:val="404040"/>
    </w:rPr>
    <w:tblPr>
      <w:tblCellMar>
        <w:left w:w="0" w:type="dxa"/>
        <w:top w:w="0" w:type="dxa"/>
        <w:right w:w="0" w:type="dxa"/>
        <w:bottom w:w="0" w:type="dxa"/>
      </w:tblCellMar>
    </w:tblPr>
  </w:style>
  <w:style w:type="table" w:styleId="882" w:customStyle="1">
    <w:name w:val="Lined - Accent 3"/>
    <w:uiPriority w:val="99"/>
    <w:rPr>
      <w:color w:val="404040"/>
    </w:rPr>
    <w:tblPr>
      <w:tblCellMar>
        <w:left w:w="0" w:type="dxa"/>
        <w:top w:w="0" w:type="dxa"/>
        <w:right w:w="0" w:type="dxa"/>
        <w:bottom w:w="0" w:type="dxa"/>
      </w:tblCellMar>
    </w:tblPr>
  </w:style>
  <w:style w:type="table" w:styleId="883" w:customStyle="1">
    <w:name w:val="Lined - Accent 4"/>
    <w:uiPriority w:val="99"/>
    <w:rPr>
      <w:color w:val="404040"/>
    </w:rPr>
    <w:tblPr>
      <w:tblCellMar>
        <w:left w:w="0" w:type="dxa"/>
        <w:top w:w="0" w:type="dxa"/>
        <w:right w:w="0" w:type="dxa"/>
        <w:bottom w:w="0" w:type="dxa"/>
      </w:tblCellMar>
    </w:tblPr>
  </w:style>
  <w:style w:type="table" w:styleId="884" w:customStyle="1">
    <w:name w:val="Lined - Accent 5"/>
    <w:uiPriority w:val="99"/>
    <w:rPr>
      <w:color w:val="404040"/>
    </w:rPr>
    <w:tblPr>
      <w:tblCellMar>
        <w:left w:w="0" w:type="dxa"/>
        <w:top w:w="0" w:type="dxa"/>
        <w:right w:w="0" w:type="dxa"/>
        <w:bottom w:w="0" w:type="dxa"/>
      </w:tblCellMar>
    </w:tblPr>
  </w:style>
  <w:style w:type="table" w:styleId="885" w:customStyle="1">
    <w:name w:val="Lined - Accent 6"/>
    <w:uiPriority w:val="99"/>
    <w:rPr>
      <w:color w:val="404040"/>
    </w:rPr>
    <w:tblPr>
      <w:tblCellMar>
        <w:left w:w="0" w:type="dxa"/>
        <w:top w:w="0" w:type="dxa"/>
        <w:right w:w="0" w:type="dxa"/>
        <w:bottom w:w="0" w:type="dxa"/>
      </w:tblCellMar>
    </w:tblPr>
  </w:style>
  <w:style w:type="table" w:styleId="886"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7"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8"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9"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0"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1"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2"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3"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4"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5"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6"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7"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8"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9"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0" w:customStyle="1">
    <w:name w:val="脚注文本 字符"/>
    <w:link w:val="736"/>
    <w:uiPriority w:val="99"/>
    <w:rPr>
      <w:sz w:val="18"/>
    </w:rPr>
  </w:style>
  <w:style w:type="character" w:styleId="901" w:customStyle="1">
    <w:name w:val="尾注文本 字符"/>
    <w:link w:val="728"/>
    <w:uiPriority w:val="99"/>
    <w:rPr>
      <w:sz w:val="20"/>
    </w:rPr>
  </w:style>
  <w:style w:type="paragraph" w:styleId="902" w:customStyle="1">
    <w:name w:val="TOC 标题1"/>
    <w:uiPriority w:val="39"/>
    <w:unhideWhenUsed/>
  </w:style>
  <w:style w:type="character" w:styleId="903" w:customStyle="1">
    <w:name w:val="正文文本 字符"/>
    <w:link w:val="713"/>
    <w:uiPriority w:val="99"/>
    <w:qFormat/>
    <w:rPr>
      <w:rFonts w:ascii="Times New Roman" w:hAnsi="Times New Roman" w:eastAsia="楷体_GB2312" w:cs="Times New Roman"/>
      <w:sz w:val="28"/>
      <w:szCs w:val="20"/>
    </w:rPr>
  </w:style>
  <w:style w:type="character" w:styleId="904" w:customStyle="1">
    <w:name w:val="标题 1 字符"/>
    <w:link w:val="701"/>
    <w:qFormat/>
    <w:rPr>
      <w:rFonts w:ascii="Times New Roman" w:hAnsi="Times New Roman" w:eastAsia="楷体_GB2312" w:cs="Times New Roman"/>
      <w:b/>
      <w:bCs/>
      <w:sz w:val="44"/>
      <w:szCs w:val="44"/>
    </w:rPr>
  </w:style>
  <w:style w:type="character" w:styleId="905" w:customStyle="1">
    <w:name w:val="标题 2 字符"/>
    <w:link w:val="702"/>
    <w:semiHidden/>
    <w:qFormat/>
    <w:rPr>
      <w:rFonts w:ascii="宋体" w:hAnsi="宋体" w:eastAsia="楷体_GB2312" w:cs="宋体"/>
      <w:b/>
      <w:sz w:val="44"/>
      <w:szCs w:val="20"/>
    </w:rPr>
  </w:style>
  <w:style w:type="character" w:styleId="906" w:customStyle="1">
    <w:name w:val="标题 3 字符"/>
    <w:link w:val="703"/>
    <w:semiHidden/>
    <w:qFormat/>
    <w:rPr>
      <w:rFonts w:ascii="Times New Roman" w:hAnsi="Times New Roman" w:eastAsia="楷体_GB2312" w:cs="Times New Roman"/>
      <w:b/>
      <w:sz w:val="32"/>
      <w:szCs w:val="20"/>
    </w:rPr>
  </w:style>
  <w:style w:type="character" w:styleId="907" w:customStyle="1">
    <w:name w:val="标题 4 字符"/>
    <w:link w:val="704"/>
    <w:semiHidden/>
    <w:qFormat/>
    <w:rPr>
      <w:rFonts w:ascii="Calibri Light" w:hAnsi="Calibri Light" w:eastAsia="宋体" w:cs="Times New Roman"/>
      <w:b/>
      <w:bCs/>
      <w:sz w:val="28"/>
      <w:szCs w:val="28"/>
    </w:rPr>
  </w:style>
  <w:style w:type="character" w:styleId="908" w:customStyle="1">
    <w:name w:val="标题 5 字符"/>
    <w:link w:val="705"/>
    <w:semiHidden/>
    <w:qFormat/>
    <w:rPr>
      <w:rFonts w:ascii="宋体" w:hAnsi="宋体" w:eastAsia="宋体" w:cs="宋体"/>
      <w:color w:val="000000"/>
      <w:sz w:val="28"/>
      <w:szCs w:val="20"/>
    </w:rPr>
  </w:style>
  <w:style w:type="character" w:styleId="909" w:customStyle="1">
    <w:name w:val="标题 6 字符"/>
    <w:link w:val="706"/>
    <w:semiHidden/>
    <w:qFormat/>
    <w:rPr>
      <w:rFonts w:ascii="宋体" w:hAnsi="宋体" w:eastAsia="宋体" w:cs="宋体"/>
      <w:sz w:val="28"/>
      <w:szCs w:val="20"/>
    </w:rPr>
  </w:style>
  <w:style w:type="character" w:styleId="910" w:customStyle="1">
    <w:name w:val="标题 7 字符"/>
    <w:link w:val="707"/>
    <w:uiPriority w:val="99"/>
    <w:semiHidden/>
    <w:qFormat/>
    <w:rPr>
      <w:rFonts w:ascii="Calibri" w:hAnsi="Calibri" w:eastAsia="宋体" w:cs="Times New Roman"/>
      <w:b/>
      <w:sz w:val="24"/>
      <w:szCs w:val="20"/>
    </w:rPr>
  </w:style>
  <w:style w:type="character" w:styleId="911" w:customStyle="1">
    <w:name w:val="标题 8 字符"/>
    <w:link w:val="708"/>
    <w:uiPriority w:val="99"/>
    <w:semiHidden/>
    <w:qFormat/>
    <w:rPr>
      <w:rFonts w:ascii="Arial" w:hAnsi="Arial" w:eastAsia="黑体" w:cs="Times New Roman"/>
      <w:sz w:val="24"/>
      <w:szCs w:val="20"/>
    </w:rPr>
  </w:style>
  <w:style w:type="character" w:styleId="912" w:customStyle="1">
    <w:name w:val="标题 9 字符"/>
    <w:link w:val="709"/>
    <w:uiPriority w:val="99"/>
    <w:semiHidden/>
    <w:qFormat/>
    <w:rPr>
      <w:rFonts w:ascii="Arial" w:hAnsi="Arial" w:eastAsia="黑体" w:cs="Times New Roman"/>
      <w:sz w:val="20"/>
      <w:szCs w:val="20"/>
    </w:rPr>
  </w:style>
  <w:style w:type="character" w:styleId="913" w:customStyle="1">
    <w:name w:val="正文缩进 字符"/>
    <w:link w:val="716"/>
    <w:semiHidden/>
    <w:qFormat/>
    <w:rPr>
      <w:rFonts w:ascii="Times New Roman" w:hAnsi="Times New Roman" w:eastAsia="楷体_GB2312" w:cs="Times New Roman"/>
      <w:sz w:val="24"/>
    </w:rPr>
  </w:style>
  <w:style w:type="character" w:styleId="914" w:customStyle="1">
    <w:name w:val="文档结构图 字符"/>
    <w:link w:val="718"/>
    <w:uiPriority w:val="99"/>
    <w:semiHidden/>
    <w:qFormat/>
    <w:rPr>
      <w:rFonts w:ascii="Times New Roman" w:hAnsi="Times New Roman" w:eastAsia="楷体_GB2312" w:cs="Times New Roman"/>
      <w:sz w:val="28"/>
      <w:szCs w:val="20"/>
      <w:shd w:val="clear" w:color="auto" w:fill="000080"/>
    </w:rPr>
  </w:style>
  <w:style w:type="character" w:styleId="915" w:customStyle="1">
    <w:name w:val="批注文字 字符"/>
    <w:link w:val="719"/>
    <w:uiPriority w:val="99"/>
    <w:semiHidden/>
    <w:qFormat/>
    <w:rPr>
      <w:rFonts w:ascii="Times New Roman" w:hAnsi="Times New Roman" w:eastAsia="楷体_GB2312" w:cs="Times New Roman"/>
      <w:sz w:val="28"/>
      <w:szCs w:val="20"/>
    </w:rPr>
  </w:style>
  <w:style w:type="character" w:styleId="916" w:customStyle="1">
    <w:name w:val="正文文本缩进 字符"/>
    <w:link w:val="720"/>
    <w:uiPriority w:val="99"/>
    <w:semiHidden/>
    <w:qFormat/>
    <w:rPr>
      <w:rFonts w:ascii="Times New Roman" w:hAnsi="Times New Roman" w:eastAsia="楷体_GB2312" w:cs="Times New Roman"/>
      <w:sz w:val="28"/>
      <w:szCs w:val="20"/>
    </w:rPr>
  </w:style>
  <w:style w:type="character" w:styleId="917" w:customStyle="1">
    <w:name w:val="纯文本 字符1"/>
    <w:link w:val="724"/>
    <w:uiPriority w:val="99"/>
    <w:semiHidden/>
    <w:qFormat/>
    <w:rPr>
      <w:rFonts w:ascii="宋体" w:hAnsi="Courier New" w:eastAsia="楷体_GB2312" w:cs="Times New Roman"/>
      <w:sz w:val="28"/>
      <w:szCs w:val="20"/>
    </w:rPr>
  </w:style>
  <w:style w:type="character" w:styleId="918" w:customStyle="1">
    <w:name w:val="日期 字符"/>
    <w:link w:val="726"/>
    <w:uiPriority w:val="99"/>
    <w:semiHidden/>
    <w:qFormat/>
    <w:rPr>
      <w:rFonts w:ascii="宋体" w:hAnsi="宋体" w:eastAsia="楷体_GB2312" w:cs="Times New Roman"/>
      <w:sz w:val="24"/>
      <w:szCs w:val="20"/>
    </w:rPr>
  </w:style>
  <w:style w:type="character" w:styleId="919" w:customStyle="1">
    <w:name w:val="正文文本缩进 2 字符"/>
    <w:link w:val="727"/>
    <w:uiPriority w:val="99"/>
    <w:semiHidden/>
    <w:qFormat/>
    <w:rPr>
      <w:rFonts w:ascii="Times New Roman" w:hAnsi="Times New Roman" w:eastAsia="楷体_GB2312" w:cs="Times New Roman"/>
      <w:sz w:val="28"/>
      <w:szCs w:val="20"/>
    </w:rPr>
  </w:style>
  <w:style w:type="character" w:styleId="920" w:customStyle="1">
    <w:name w:val="批注框文本 字符"/>
    <w:link w:val="729"/>
    <w:uiPriority w:val="99"/>
    <w:semiHidden/>
    <w:qFormat/>
    <w:rPr>
      <w:rFonts w:ascii="Calibri" w:hAnsi="Calibri" w:eastAsia="宋体" w:cs="Times New Roman"/>
      <w:sz w:val="18"/>
      <w:szCs w:val="18"/>
    </w:rPr>
  </w:style>
  <w:style w:type="character" w:styleId="921" w:customStyle="1">
    <w:name w:val="页脚 字符"/>
    <w:link w:val="730"/>
    <w:uiPriority w:val="99"/>
    <w:qFormat/>
    <w:rPr>
      <w:rFonts w:ascii="Times New Roman" w:hAnsi="Times New Roman" w:eastAsia="楷体_GB2312" w:cs="Times New Roman"/>
      <w:sz w:val="18"/>
      <w:szCs w:val="18"/>
    </w:rPr>
  </w:style>
  <w:style w:type="character" w:styleId="922" w:customStyle="1">
    <w:name w:val="页眉 字符"/>
    <w:link w:val="732"/>
    <w:uiPriority w:val="99"/>
    <w:qFormat/>
    <w:rPr>
      <w:rFonts w:ascii="Times New Roman" w:hAnsi="Times New Roman" w:eastAsia="楷体_GB2312" w:cs="Times New Roman"/>
      <w:sz w:val="18"/>
      <w:szCs w:val="18"/>
    </w:rPr>
  </w:style>
  <w:style w:type="character" w:styleId="923" w:customStyle="1">
    <w:name w:val="副标题 字符"/>
    <w:link w:val="735"/>
    <w:uiPriority w:val="99"/>
    <w:qFormat/>
    <w:rPr>
      <w:rFonts w:ascii="Cambria" w:hAnsi="Cambria" w:eastAsia="宋体" w:cs="Times New Roman"/>
      <w:b/>
      <w:bCs/>
      <w:sz w:val="32"/>
      <w:szCs w:val="32"/>
    </w:rPr>
  </w:style>
  <w:style w:type="character" w:styleId="924" w:customStyle="1">
    <w:name w:val="正文文本缩进 3 字符"/>
    <w:link w:val="738"/>
    <w:uiPriority w:val="99"/>
    <w:semiHidden/>
    <w:qFormat/>
    <w:rPr>
      <w:rFonts w:ascii="Times New Roman" w:hAnsi="Times New Roman" w:eastAsia="楷体_GB2312" w:cs="Times New Roman"/>
      <w:sz w:val="16"/>
      <w:szCs w:val="16"/>
    </w:rPr>
  </w:style>
  <w:style w:type="character" w:styleId="925" w:customStyle="1">
    <w:name w:val="正文文本 2 字符"/>
    <w:link w:val="742"/>
    <w:uiPriority w:val="99"/>
    <w:semiHidden/>
    <w:qFormat/>
    <w:rPr>
      <w:rFonts w:ascii="Calibri" w:hAnsi="Calibri" w:eastAsia="宋体" w:cs="Times New Roman"/>
    </w:rPr>
  </w:style>
  <w:style w:type="character" w:styleId="926" w:customStyle="1">
    <w:name w:val="HTML 预设格式 字符"/>
    <w:link w:val="743"/>
    <w:semiHidden/>
    <w:qFormat/>
    <w:rPr>
      <w:rFonts w:ascii="黑体" w:hAnsi="Courier New" w:eastAsia="黑体" w:cs="Times New Roman"/>
      <w:sz w:val="20"/>
      <w:szCs w:val="20"/>
    </w:rPr>
  </w:style>
  <w:style w:type="character" w:styleId="927" w:customStyle="1">
    <w:name w:val="标题 字符"/>
    <w:link w:val="746"/>
    <w:uiPriority w:val="99"/>
    <w:qFormat/>
    <w:rPr>
      <w:rFonts w:ascii="Cambria" w:hAnsi="Cambria" w:eastAsia="宋体" w:cs="Times New Roman"/>
      <w:b/>
      <w:bCs/>
      <w:sz w:val="32"/>
      <w:szCs w:val="32"/>
    </w:rPr>
  </w:style>
  <w:style w:type="character" w:styleId="928" w:customStyle="1">
    <w:name w:val="批注主题 字符"/>
    <w:link w:val="747"/>
    <w:uiPriority w:val="99"/>
    <w:semiHidden/>
    <w:qFormat/>
    <w:rPr>
      <w:rFonts w:ascii="Times New Roman" w:hAnsi="Times New Roman" w:eastAsia="楷体_GB2312" w:cs="Times New Roman"/>
      <w:b/>
      <w:bCs/>
      <w:sz w:val="28"/>
      <w:szCs w:val="20"/>
    </w:rPr>
  </w:style>
  <w:style w:type="character" w:styleId="929" w:customStyle="1">
    <w:name w:val="正文首行缩进 字符"/>
    <w:link w:val="748"/>
    <w:uiPriority w:val="99"/>
    <w:semiHidden/>
    <w:qFormat/>
    <w:rPr>
      <w:rFonts w:ascii="宋体" w:hAnsi="宋体" w:eastAsia="宋体" w:cs="Times New Roman"/>
      <w:sz w:val="28"/>
      <w:szCs w:val="24"/>
    </w:rPr>
  </w:style>
  <w:style w:type="character" w:styleId="930" w:customStyle="1">
    <w:name w:val="正文首行缩进 2 字符"/>
    <w:link w:val="749"/>
    <w:uiPriority w:val="99"/>
    <w:semiHidden/>
    <w:rPr>
      <w:rFonts w:ascii="Times New Roman" w:hAnsi="宋体" w:eastAsia="楷体_GB2312" w:cs="Times New Roman"/>
      <w:sz w:val="28"/>
      <w:szCs w:val="20"/>
    </w:rPr>
  </w:style>
  <w:style w:type="character" w:styleId="931" w:customStyle="1">
    <w:name w:val="已访问的超链接1"/>
    <w:uiPriority w:val="99"/>
    <w:unhideWhenUsed/>
    <w:qFormat/>
    <w:rPr>
      <w:color w:val="800080"/>
      <w:u w:val="single"/>
    </w:rPr>
  </w:style>
  <w:style w:type="paragraph" w:styleId="932" w:customStyle="1">
    <w:name w:val="msonormal"/>
    <w:basedOn w:val="700"/>
    <w:uiPriority w:val="99"/>
    <w:qFormat/>
    <w:pPr>
      <w:jc w:val="left"/>
      <w:spacing w:before="100" w:beforeAutospacing="1" w:after="100" w:afterAutospacing="1"/>
      <w:widowControl/>
    </w:pPr>
    <w:rPr>
      <w:rFonts w:ascii="宋体" w:hAnsi="宋体" w:eastAsia="宋体" w:cs="宋体"/>
      <w:sz w:val="24"/>
      <w:szCs w:val="24"/>
    </w:rPr>
  </w:style>
  <w:style w:type="character" w:styleId="933" w:customStyle="1">
    <w:name w:val="纯文本 字符"/>
    <w:semiHidden/>
    <w:qFormat/>
    <w:rPr>
      <w:rFonts w:ascii="等线" w:hAnsi="Courier New" w:cs="Courier New"/>
      <w:sz w:val="28"/>
      <w:szCs w:val="20"/>
    </w:rPr>
  </w:style>
  <w:style w:type="character" w:styleId="934" w:customStyle="1">
    <w:name w:val="列出段落 字符"/>
    <w:link w:val="764"/>
    <w:uiPriority w:val="34"/>
    <w:qFormat/>
  </w:style>
  <w:style w:type="character" w:styleId="935" w:customStyle="1">
    <w:name w:val="List Paragraph Char"/>
    <w:link w:val="936"/>
    <w:qFormat/>
  </w:style>
  <w:style w:type="paragraph" w:styleId="936" w:customStyle="1">
    <w:name w:val="列出段落1"/>
    <w:basedOn w:val="700"/>
    <w:link w:val="935"/>
    <w:qFormat/>
    <w:pPr>
      <w:ind w:firstLine="200"/>
    </w:pPr>
    <w:rPr>
      <w:rFonts w:ascii="等线" w:hAnsi="等线" w:eastAsia="等线"/>
      <w:sz w:val="21"/>
      <w:szCs w:val="22"/>
    </w:rPr>
  </w:style>
  <w:style w:type="character" w:styleId="937" w:customStyle="1">
    <w:name w:val="Andy_3级 Char"/>
    <w:link w:val="938"/>
    <w:qFormat/>
    <w:rPr>
      <w:sz w:val="24"/>
    </w:rPr>
  </w:style>
  <w:style w:type="paragraph" w:styleId="938" w:customStyle="1">
    <w:name w:val="Andy_3级"/>
    <w:basedOn w:val="700"/>
    <w:link w:val="937"/>
    <w:qFormat/>
    <w:pPr>
      <w:ind w:left="1260" w:hanging="420"/>
      <w:spacing w:line="360" w:lineRule="auto"/>
      <w:tabs>
        <w:tab w:val="left" w:pos="1260" w:leader="none"/>
      </w:tabs>
    </w:pPr>
    <w:rPr>
      <w:rFonts w:ascii="等线" w:hAnsi="等线" w:eastAsia="等线"/>
      <w:sz w:val="24"/>
      <w:szCs w:val="22"/>
    </w:rPr>
  </w:style>
  <w:style w:type="character" w:styleId="939" w:customStyle="1">
    <w:name w:val="文章正文 字符"/>
    <w:link w:val="940"/>
    <w:qFormat/>
    <w:rPr>
      <w:rFonts w:ascii="Times New Roman" w:hAnsi="Times New Roman" w:cs="Times New Roman"/>
      <w:sz w:val="24"/>
    </w:rPr>
  </w:style>
  <w:style w:type="paragraph" w:styleId="940" w:customStyle="1">
    <w:name w:val="文章正文"/>
    <w:basedOn w:val="700"/>
    <w:link w:val="939"/>
    <w:qFormat/>
    <w:pPr>
      <w:ind w:firstLine="560"/>
      <w:jc w:val="left"/>
      <w:spacing w:line="360" w:lineRule="auto"/>
      <w:widowControl/>
    </w:pPr>
    <w:rPr>
      <w:rFonts w:eastAsia="等线"/>
      <w:sz w:val="24"/>
      <w:szCs w:val="22"/>
    </w:rPr>
  </w:style>
  <w:style w:type="character" w:styleId="941" w:customStyle="1">
    <w:name w:val="样式6 Char"/>
    <w:link w:val="942"/>
    <w:qFormat/>
    <w:rPr>
      <w:rFonts w:ascii="宋体" w:hAnsi="宋体" w:eastAsia="宋体" w:cs="宋体"/>
      <w:sz w:val="28"/>
      <w:szCs w:val="28"/>
    </w:rPr>
  </w:style>
  <w:style w:type="paragraph" w:styleId="942" w:customStyle="1">
    <w:name w:val="样式6"/>
    <w:basedOn w:val="700"/>
    <w:link w:val="941"/>
    <w:qFormat/>
    <w:pPr>
      <w:ind w:left="980" w:hanging="420"/>
      <w:spacing w:line="360" w:lineRule="auto"/>
    </w:pPr>
    <w:rPr>
      <w:rFonts w:ascii="宋体" w:hAnsi="宋体" w:eastAsia="宋体" w:cs="宋体"/>
      <w:szCs w:val="28"/>
    </w:rPr>
  </w:style>
  <w:style w:type="character" w:styleId="943" w:customStyle="1">
    <w:name w:val="Andy_正文 Char"/>
    <w:link w:val="944"/>
    <w:qFormat/>
    <w:rPr>
      <w:sz w:val="24"/>
      <w:szCs w:val="24"/>
    </w:rPr>
  </w:style>
  <w:style w:type="paragraph" w:styleId="944" w:customStyle="1">
    <w:name w:val="Andy_正文"/>
    <w:basedOn w:val="700"/>
    <w:link w:val="943"/>
    <w:qFormat/>
    <w:pPr>
      <w:ind w:firstLine="480"/>
      <w:spacing w:line="360" w:lineRule="auto"/>
    </w:pPr>
    <w:rPr>
      <w:rFonts w:ascii="等线" w:hAnsi="等线" w:eastAsia="等线"/>
      <w:sz w:val="24"/>
      <w:szCs w:val="24"/>
    </w:rPr>
  </w:style>
  <w:style w:type="character" w:styleId="945" w:customStyle="1">
    <w:name w:val="03 正文 Char"/>
    <w:link w:val="946"/>
    <w:qFormat/>
    <w:rPr>
      <w:rFonts w:ascii="Times New Roman" w:hAnsi="Times New Roman" w:cs="Times New Roman"/>
    </w:rPr>
  </w:style>
  <w:style w:type="paragraph" w:styleId="946" w:customStyle="1">
    <w:name w:val="03 正文"/>
    <w:basedOn w:val="700"/>
    <w:link w:val="945"/>
    <w:qFormat/>
    <w:pPr>
      <w:ind w:firstLine="420"/>
      <w:spacing w:line="500" w:lineRule="atLeast"/>
      <w:widowControl/>
    </w:pPr>
    <w:rPr>
      <w:rFonts w:eastAsia="等线"/>
      <w:sz w:val="21"/>
      <w:szCs w:val="22"/>
    </w:rPr>
  </w:style>
  <w:style w:type="character" w:styleId="947" w:customStyle="1">
    <w:name w:val="01 章标 Char"/>
    <w:link w:val="948"/>
    <w:qFormat/>
    <w:rPr>
      <w:b/>
      <w:sz w:val="44"/>
      <w:szCs w:val="44"/>
    </w:rPr>
  </w:style>
  <w:style w:type="paragraph" w:styleId="948" w:customStyle="1">
    <w:name w:val="01 章标"/>
    <w:basedOn w:val="700"/>
    <w:link w:val="947"/>
    <w:qFormat/>
    <w:pPr>
      <w:ind w:firstLine="883"/>
      <w:jc w:val="center"/>
      <w:outlineLvl w:val="0"/>
    </w:pPr>
    <w:rPr>
      <w:rFonts w:ascii="等线" w:hAnsi="等线" w:eastAsia="等线"/>
      <w:b/>
      <w:sz w:val="44"/>
      <w:szCs w:val="44"/>
    </w:rPr>
  </w:style>
  <w:style w:type="character" w:styleId="949" w:customStyle="1">
    <w:name w:val="Plain Text Char Char"/>
    <w:link w:val="950"/>
    <w:qFormat/>
    <w:rPr>
      <w:rFonts w:ascii="宋体" w:hAnsi="Courier New" w:eastAsia="楷体_GB2312"/>
      <w:sz w:val="28"/>
    </w:rPr>
  </w:style>
  <w:style w:type="paragraph" w:styleId="950" w:customStyle="1">
    <w:name w:val="纯文本1"/>
    <w:basedOn w:val="700"/>
    <w:link w:val="949"/>
    <w:qFormat/>
    <w:rPr>
      <w:rFonts w:ascii="宋体" w:hAnsi="Courier New"/>
      <w:szCs w:val="22"/>
    </w:rPr>
  </w:style>
  <w:style w:type="character" w:styleId="951" w:customStyle="1">
    <w:name w:val="列出段落 Char"/>
    <w:link w:val="952"/>
    <w:uiPriority w:val="34"/>
    <w:qFormat/>
  </w:style>
  <w:style w:type="paragraph" w:styleId="952" w:customStyle="1">
    <w:name w:val="列出段落21"/>
    <w:basedOn w:val="700"/>
    <w:link w:val="951"/>
    <w:uiPriority w:val="34"/>
    <w:qFormat/>
    <w:pPr>
      <w:ind w:firstLine="420"/>
    </w:pPr>
    <w:rPr>
      <w:rFonts w:ascii="等线" w:hAnsi="等线" w:eastAsia="等线"/>
      <w:sz w:val="21"/>
      <w:szCs w:val="22"/>
    </w:rPr>
  </w:style>
  <w:style w:type="character" w:styleId="953" w:customStyle="1">
    <w:name w:val="Andy_2级 Char"/>
    <w:link w:val="954"/>
    <w:qFormat/>
    <w:rPr>
      <w:sz w:val="24"/>
    </w:rPr>
  </w:style>
  <w:style w:type="paragraph" w:styleId="954" w:customStyle="1">
    <w:name w:val="Andy_2级"/>
    <w:basedOn w:val="700"/>
    <w:link w:val="953"/>
    <w:qFormat/>
    <w:pPr>
      <w:ind w:left="840" w:hanging="420"/>
      <w:spacing w:line="360" w:lineRule="auto"/>
      <w:tabs>
        <w:tab w:val="left" w:pos="840" w:leader="none"/>
      </w:tabs>
    </w:pPr>
    <w:rPr>
      <w:rFonts w:ascii="等线" w:hAnsi="等线" w:eastAsia="等线"/>
      <w:sz w:val="24"/>
      <w:szCs w:val="22"/>
    </w:rPr>
  </w:style>
  <w:style w:type="character" w:styleId="955" w:customStyle="1">
    <w:name w:val="Plain Text Char1"/>
    <w:link w:val="956"/>
    <w:qFormat/>
    <w:rPr>
      <w:rFonts w:ascii="宋体" w:hAnsi="Courier New" w:eastAsia="楷体_GB2312"/>
      <w:sz w:val="26"/>
    </w:rPr>
  </w:style>
  <w:style w:type="paragraph" w:styleId="956" w:customStyle="1">
    <w:name w:val="纯文本112"/>
    <w:basedOn w:val="700"/>
    <w:link w:val="955"/>
    <w:qFormat/>
    <w:rPr>
      <w:rFonts w:ascii="宋体" w:hAnsi="Courier New"/>
      <w:sz w:val="26"/>
      <w:szCs w:val="22"/>
    </w:rPr>
  </w:style>
  <w:style w:type="character" w:styleId="957" w:customStyle="1">
    <w:name w:val="纯文本 Char Char"/>
    <w:link w:val="958"/>
    <w:qFormat/>
    <w:rPr>
      <w:rFonts w:ascii="宋体" w:hAnsi="Courier New" w:eastAsia="楷体_GB2312"/>
      <w:sz w:val="26"/>
    </w:rPr>
  </w:style>
  <w:style w:type="paragraph" w:styleId="958" w:customStyle="1">
    <w:name w:val="纯文本11"/>
    <w:basedOn w:val="700"/>
    <w:link w:val="957"/>
    <w:qFormat/>
    <w:pPr>
      <w:spacing w:line="360" w:lineRule="auto"/>
      <w:widowControl/>
    </w:pPr>
    <w:rPr>
      <w:rFonts w:ascii="宋体" w:hAnsi="Courier New"/>
      <w:sz w:val="26"/>
      <w:szCs w:val="22"/>
    </w:rPr>
  </w:style>
  <w:style w:type="character" w:styleId="959" w:customStyle="1">
    <w:name w:val="02 标题 Char"/>
    <w:link w:val="960"/>
    <w:qFormat/>
    <w:rPr>
      <w:b/>
      <w:szCs w:val="21"/>
    </w:rPr>
  </w:style>
  <w:style w:type="paragraph" w:styleId="960" w:customStyle="1">
    <w:name w:val="02 标题"/>
    <w:basedOn w:val="700"/>
    <w:link w:val="959"/>
    <w:qFormat/>
    <w:pPr>
      <w:keepNext/>
      <w:spacing w:line="360" w:lineRule="auto"/>
      <w:widowControl/>
      <w:outlineLvl w:val="0"/>
    </w:pPr>
    <w:rPr>
      <w:rFonts w:ascii="等线" w:hAnsi="等线" w:eastAsia="等线"/>
      <w:b/>
      <w:sz w:val="21"/>
      <w:szCs w:val="21"/>
    </w:rPr>
  </w:style>
  <w:style w:type="character" w:styleId="961" w:customStyle="1">
    <w:name w:val="正文首行缩进 Char Char"/>
    <w:link w:val="962"/>
    <w:qFormat/>
    <w:rPr>
      <w:szCs w:val="24"/>
    </w:rPr>
  </w:style>
  <w:style w:type="paragraph" w:styleId="962" w:customStyle="1">
    <w:name w:val="正文首行缩进1"/>
    <w:basedOn w:val="713"/>
    <w:link w:val="961"/>
    <w:qFormat/>
    <w:pPr>
      <w:ind w:firstLine="420"/>
      <w:widowControl/>
    </w:pPr>
    <w:rPr>
      <w:rFonts w:ascii="等线" w:hAnsi="等线" w:eastAsia="等线"/>
      <w:sz w:val="21"/>
      <w:szCs w:val="24"/>
    </w:rPr>
  </w:style>
  <w:style w:type="character" w:styleId="963" w:customStyle="1">
    <w:name w:val="_正文段落 Char"/>
    <w:link w:val="964"/>
    <w:qFormat/>
    <w:rPr>
      <w:rFonts w:ascii="宋体" w:hAnsi="宋体" w:eastAsia="宋体"/>
      <w:sz w:val="24"/>
      <w:szCs w:val="24"/>
    </w:rPr>
  </w:style>
  <w:style w:type="paragraph" w:styleId="964" w:customStyle="1">
    <w:name w:val="_正文段落"/>
    <w:basedOn w:val="700"/>
    <w:link w:val="963"/>
    <w:qFormat/>
    <w:pPr>
      <w:ind w:firstLine="200"/>
      <w:jc w:val="left"/>
      <w:spacing w:line="360" w:lineRule="auto"/>
    </w:pPr>
    <w:rPr>
      <w:rFonts w:ascii="宋体" w:hAnsi="宋体" w:eastAsia="宋体"/>
      <w:sz w:val="24"/>
      <w:szCs w:val="24"/>
    </w:rPr>
  </w:style>
  <w:style w:type="character" w:styleId="965" w:customStyle="1">
    <w:name w:val="3级方案标题 字符"/>
    <w:link w:val="966"/>
    <w:qFormat/>
    <w:rPr>
      <w:rFonts w:ascii="宋体" w:hAnsi="宋体" w:eastAsia="宋体"/>
      <w:b/>
      <w:color w:val="000000"/>
      <w:sz w:val="32"/>
      <w:szCs w:val="32"/>
    </w:rPr>
  </w:style>
  <w:style w:type="paragraph" w:styleId="966" w:customStyle="1">
    <w:name w:val="3级方案标题"/>
    <w:basedOn w:val="703"/>
    <w:link w:val="965"/>
    <w:qFormat/>
    <w:pPr>
      <w:numPr>
        <w:ilvl w:val="2"/>
        <w:numId w:val="1"/>
      </w:numPr>
      <w:jc w:val="both"/>
      <w:spacing w:before="100" w:beforeAutospacing="1" w:after="100" w:afterAutospacing="1" w:line="360" w:lineRule="auto"/>
      <w:tabs>
        <w:tab w:val="left" w:pos="2717" w:leader="none"/>
        <w:tab w:val="left" w:pos="3556" w:leader="none"/>
      </w:tabs>
    </w:pPr>
    <w:rPr>
      <w:rFonts w:ascii="宋体" w:hAnsi="宋体" w:eastAsia="宋体"/>
      <w:color w:val="000000"/>
      <w:szCs w:val="32"/>
    </w:rPr>
  </w:style>
  <w:style w:type="character" w:styleId="967" w:customStyle="1">
    <w:name w:val="Plain Text Char"/>
    <w:link w:val="968"/>
    <w:qFormat/>
    <w:rPr>
      <w:rFonts w:ascii="宋体" w:hAnsi="Courier New" w:eastAsia="楷体_GB2312" w:cs="宋体"/>
      <w:sz w:val="26"/>
    </w:rPr>
  </w:style>
  <w:style w:type="paragraph" w:styleId="968" w:customStyle="1">
    <w:name w:val="纯文本5"/>
    <w:basedOn w:val="700"/>
    <w:link w:val="967"/>
    <w:qFormat/>
    <w:rPr>
      <w:rFonts w:ascii="宋体" w:hAnsi="Courier New" w:cs="宋体"/>
      <w:sz w:val="26"/>
      <w:szCs w:val="22"/>
    </w:rPr>
  </w:style>
  <w:style w:type="character" w:styleId="969" w:customStyle="1">
    <w:name w:val="09汇 表 Char"/>
    <w:link w:val="970"/>
    <w:qFormat/>
    <w:rPr>
      <w:rFonts w:ascii="Times New Roman" w:hAnsi="Times New Roman" w:cs="Times New Roman"/>
      <w:bCs/>
      <w:color w:val="000000"/>
      <w:sz w:val="22"/>
      <w:szCs w:val="24"/>
    </w:rPr>
  </w:style>
  <w:style w:type="paragraph" w:styleId="970" w:customStyle="1">
    <w:name w:val="09汇 表"/>
    <w:basedOn w:val="700"/>
    <w:link w:val="969"/>
    <w:qFormat/>
    <w:pPr>
      <w:jc w:val="center"/>
      <w:widowControl/>
    </w:pPr>
    <w:rPr>
      <w:rFonts w:eastAsia="等线"/>
      <w:bCs/>
      <w:color w:val="000000"/>
      <w:sz w:val="22"/>
      <w:szCs w:val="24"/>
    </w:rPr>
  </w:style>
  <w:style w:type="character" w:styleId="971" w:customStyle="1">
    <w:name w:val="UH正文 Char"/>
    <w:link w:val="972"/>
    <w:qFormat/>
    <w:rPr>
      <w:rFonts w:ascii="Arial" w:hAnsi="Arial" w:cs="Arial"/>
      <w:sz w:val="24"/>
      <w:szCs w:val="21"/>
    </w:rPr>
  </w:style>
  <w:style w:type="paragraph" w:styleId="972" w:customStyle="1">
    <w:name w:val="UH正文"/>
    <w:link w:val="971"/>
    <w:qFormat/>
    <w:pPr>
      <w:ind w:firstLine="200"/>
      <w:spacing w:line="360" w:lineRule="auto"/>
    </w:pPr>
    <w:rPr>
      <w:rFonts w:ascii="Arial" w:hAnsi="Arial" w:cs="Arial"/>
      <w:sz w:val="24"/>
      <w:szCs w:val="21"/>
    </w:rPr>
  </w:style>
  <w:style w:type="paragraph" w:styleId="973" w:customStyle="1">
    <w:name w:val="xl100"/>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974" w:customStyle="1">
    <w:name w:val="xl41328"/>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975" w:customStyle="1">
    <w:name w:val="xl41322"/>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976" w:customStyle="1">
    <w:name w:val="xl24246"/>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977" w:customStyle="1">
    <w:name w:val="xl72"/>
    <w:basedOn w:val="70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78" w:customStyle="1">
    <w:name w:val="财政-标题一"/>
    <w:basedOn w:val="700"/>
    <w:uiPriority w:val="99"/>
    <w:qFormat/>
    <w:pPr>
      <w:numPr>
        <w:numId w:val="2"/>
      </w:numPr>
      <w:ind w:left="15" w:right="15"/>
      <w:outlineLvl w:val="0"/>
    </w:pPr>
    <w:rPr>
      <w:rFonts w:eastAsia="华文中宋"/>
      <w:b/>
      <w:sz w:val="44"/>
      <w:szCs w:val="21"/>
    </w:rPr>
  </w:style>
  <w:style w:type="paragraph" w:styleId="979" w:customStyle="1">
    <w:name w:val="xl41320"/>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980" w:customStyle="1">
    <w:name w:val="xl130"/>
    <w:basedOn w:val="700"/>
    <w:uiPriority w:val="99"/>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981" w:customStyle="1">
    <w:name w:val="xl83"/>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982" w:customStyle="1">
    <w:name w:val="xl79"/>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83" w:customStyle="1">
    <w:name w:val="font9"/>
    <w:basedOn w:val="700"/>
    <w:uiPriority w:val="99"/>
    <w:qFormat/>
    <w:pPr>
      <w:jc w:val="left"/>
      <w:spacing w:before="100" w:beforeAutospacing="1" w:after="100" w:afterAutospacing="1"/>
      <w:widowControl/>
    </w:pPr>
    <w:rPr>
      <w:rFonts w:ascii="宋体" w:hAnsi="宋体" w:eastAsia="宋体" w:cs="宋体"/>
      <w:sz w:val="18"/>
      <w:szCs w:val="18"/>
    </w:rPr>
  </w:style>
  <w:style w:type="paragraph" w:styleId="984" w:customStyle="1">
    <w:name w:val="段"/>
    <w:next w:val="700"/>
    <w:qFormat/>
    <w:pPr>
      <w:ind w:firstLine="200"/>
      <w:jc w:val="both"/>
      <w:spacing w:line="360" w:lineRule="auto"/>
    </w:pPr>
    <w:rPr>
      <w:rFonts w:ascii="宋体"/>
      <w:sz w:val="24"/>
      <w:szCs w:val="22"/>
    </w:rPr>
  </w:style>
  <w:style w:type="paragraph" w:styleId="985" w:customStyle="1">
    <w:name w:val="Default"/>
    <w:uiPriority w:val="99"/>
    <w:qFormat/>
    <w:pPr>
      <w:widowControl w:val="off"/>
    </w:pPr>
    <w:rPr>
      <w:rFonts w:ascii="黑体" w:eastAsia="黑体" w:cs="黑体"/>
      <w:color w:val="000000"/>
      <w:sz w:val="24"/>
      <w:szCs w:val="24"/>
    </w:rPr>
  </w:style>
  <w:style w:type="paragraph" w:styleId="986" w:customStyle="1">
    <w:name w:val="Char Char Char Char"/>
    <w:basedOn w:val="718"/>
    <w:uiPriority w:val="99"/>
    <w:qFormat/>
    <w:pPr>
      <w:spacing w:line="360" w:lineRule="auto"/>
    </w:pPr>
    <w:rPr>
      <w:rFonts w:ascii="Tahoma" w:hAnsi="Tahoma" w:eastAsia="宋体"/>
      <w:sz w:val="24"/>
      <w:szCs w:val="24"/>
    </w:rPr>
  </w:style>
  <w:style w:type="paragraph" w:styleId="987" w:customStyle="1">
    <w:name w:val="标题3"/>
    <w:basedOn w:val="703"/>
    <w:uiPriority w:val="99"/>
    <w:qFormat/>
    <w:pPr>
      <w:jc w:val="both"/>
      <w:keepLines w:val="0"/>
      <w:keepNext w:val="0"/>
      <w:spacing w:line="360" w:lineRule="auto"/>
    </w:pPr>
    <w:rPr>
      <w:rFonts w:eastAsia="仿宋_GB2312"/>
      <w:bCs/>
      <w:sz w:val="30"/>
      <w:szCs w:val="32"/>
    </w:rPr>
  </w:style>
  <w:style w:type="paragraph" w:styleId="988" w:customStyle="1">
    <w:name w:val="xl108"/>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989" w:customStyle="1">
    <w:name w:val="xl24248"/>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990" w:customStyle="1">
    <w:name w:val="xl24265"/>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32"/>
      <w:szCs w:val="32"/>
    </w:rPr>
  </w:style>
  <w:style w:type="paragraph" w:styleId="991" w:customStyle="1">
    <w:name w:val="xl24257"/>
    <w:basedOn w:val="70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992" w:customStyle="1">
    <w:name w:val="正文 A"/>
    <w:uiPriority w:val="99"/>
    <w:qFormat/>
    <w:pPr>
      <w:jc w:val="both"/>
      <w:widowControl w:val="off"/>
      <w:framePr w:wrap="around" w:hAnchor="text" w:yAlign="top"/>
    </w:pPr>
    <w:rPr>
      <w:rFonts w:hAnsi="Arial Unicode MS" w:eastAsia="Arial Unicode MS" w:cs="Arial Unicode MS"/>
      <w:color w:val="000000"/>
      <w:sz w:val="21"/>
      <w:szCs w:val="21"/>
    </w:rPr>
  </w:style>
  <w:style w:type="paragraph" w:styleId="993" w:customStyle="1">
    <w:name w:val="纯文本2"/>
    <w:basedOn w:val="700"/>
    <w:uiPriority w:val="99"/>
    <w:qFormat/>
    <w:rPr>
      <w:rFonts w:ascii="宋体" w:hAnsi="Courier New"/>
      <w:sz w:val="26"/>
    </w:rPr>
  </w:style>
  <w:style w:type="paragraph" w:styleId="994" w:customStyle="1">
    <w:name w:val="Char Char Char"/>
    <w:basedOn w:val="718"/>
    <w:uiPriority w:val="99"/>
    <w:qFormat/>
    <w:pPr>
      <w:spacing w:line="360" w:lineRule="auto"/>
    </w:pPr>
    <w:rPr>
      <w:rFonts w:ascii="Tahoma" w:hAnsi="Tahoma" w:eastAsia="宋体"/>
      <w:sz w:val="24"/>
      <w:szCs w:val="24"/>
    </w:rPr>
  </w:style>
  <w:style w:type="paragraph" w:styleId="995" w:customStyle="1">
    <w:name w:val="xl24262"/>
    <w:basedOn w:val="700"/>
    <w:uiPriority w:val="99"/>
    <w:qFormat/>
    <w:pPr>
      <w:jc w:val="center"/>
      <w:spacing w:before="100" w:beforeAutospacing="1" w:after="100" w:afterAutospacing="1"/>
      <w:widowControl/>
      <w:pBdr>
        <w:right w:val="single" w:color="000000" w:sz="4" w:space="0"/>
      </w:pBdr>
    </w:pPr>
    <w:rPr>
      <w:rFonts w:ascii="宋体" w:hAnsi="宋体" w:eastAsia="宋体" w:cs="宋体"/>
      <w:sz w:val="20"/>
    </w:rPr>
  </w:style>
  <w:style w:type="paragraph" w:styleId="996" w:customStyle="1">
    <w:name w:val="xl24254"/>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997" w:customStyle="1">
    <w:name w:val="xl41330"/>
    <w:basedOn w:val="700"/>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998" w:customStyle="1">
    <w:name w:val="xl106"/>
    <w:basedOn w:val="70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999" w:customStyle="1">
    <w:name w:val="xl24256"/>
    <w:basedOn w:val="70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00" w:customStyle="1">
    <w:name w:val="xl69"/>
    <w:basedOn w:val="700"/>
    <w:uiPriority w:val="99"/>
    <w:qFormat/>
    <w:pPr>
      <w:jc w:val="center"/>
      <w:spacing w:before="100" w:beforeAutospacing="1" w:after="100" w:afterAutospacing="1"/>
      <w:shd w:val="clear" w:color="auto" w:fill="ffffff"/>
      <w:widowControl/>
    </w:pPr>
    <w:rPr>
      <w:rFonts w:ascii="宋体" w:hAnsi="宋体" w:eastAsia="宋体" w:cs="宋体"/>
      <w:sz w:val="24"/>
      <w:szCs w:val="24"/>
    </w:rPr>
  </w:style>
  <w:style w:type="paragraph" w:styleId="1001" w:customStyle="1">
    <w:name w:val="xl115"/>
    <w:basedOn w:val="70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002" w:customStyle="1">
    <w:name w:val="xl41339"/>
    <w:basedOn w:val="70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03" w:customStyle="1">
    <w:name w:val="xl77"/>
    <w:basedOn w:val="700"/>
    <w:uiPriority w:val="99"/>
    <w:qFormat/>
    <w:pPr>
      <w:jc w:val="left"/>
      <w:spacing w:before="100" w:beforeAutospacing="1" w:after="100" w:afterAutospacing="1"/>
      <w:widowControl/>
    </w:pPr>
    <w:rPr>
      <w:rFonts w:ascii="宋体" w:hAnsi="宋体" w:eastAsia="宋体" w:cs="宋体"/>
      <w:b/>
      <w:bCs/>
      <w:sz w:val="24"/>
      <w:szCs w:val="24"/>
    </w:rPr>
  </w:style>
  <w:style w:type="paragraph" w:styleId="1004" w:customStyle="1">
    <w:name w:val="xl126"/>
    <w:basedOn w:val="700"/>
    <w:uiPriority w:val="99"/>
    <w:qFormat/>
    <w:pPr>
      <w:jc w:val="left"/>
      <w:spacing w:before="100" w:beforeAutospacing="1" w:after="100" w:afterAutospacing="1"/>
      <w:shd w:val="clear" w:color="auto" w:fill="ffffff"/>
      <w:widowControl/>
      <w:pBdr>
        <w:left w:val="single" w:color="000000" w:sz="4" w:space="0"/>
      </w:pBdr>
    </w:pPr>
    <w:rPr>
      <w:rFonts w:ascii="宋体" w:hAnsi="宋体" w:eastAsia="宋体" w:cs="宋体"/>
      <w:b/>
      <w:bCs/>
      <w:sz w:val="24"/>
      <w:szCs w:val="24"/>
    </w:rPr>
  </w:style>
  <w:style w:type="paragraph" w:styleId="1005" w:customStyle="1">
    <w:name w:val="xl133"/>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06" w:customStyle="1">
    <w:name w:val="Char Char Char Char Char Char Char Char Char Char"/>
    <w:basedOn w:val="700"/>
    <w:uiPriority w:val="99"/>
    <w:qFormat/>
    <w:pPr>
      <w:ind w:left="360" w:hanging="360"/>
      <w:tabs>
        <w:tab w:val="left" w:pos="360" w:leader="none"/>
      </w:tabs>
    </w:pPr>
    <w:rPr>
      <w:rFonts w:eastAsia="宋体"/>
      <w:sz w:val="24"/>
      <w:szCs w:val="24"/>
    </w:rPr>
  </w:style>
  <w:style w:type="paragraph" w:styleId="1007" w:customStyle="1">
    <w:name w:val="xl41336"/>
    <w:basedOn w:val="700"/>
    <w:uiPriority w:val="99"/>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eastAsia="宋体" w:cs="宋体"/>
      <w:sz w:val="20"/>
    </w:rPr>
  </w:style>
  <w:style w:type="paragraph" w:styleId="1008" w:customStyle="1">
    <w:name w:val="xl41325"/>
    <w:basedOn w:val="70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09" w:customStyle="1">
    <w:name w:val="xl41304"/>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10" w:customStyle="1">
    <w:name w:val="xl127"/>
    <w:basedOn w:val="700"/>
    <w:uiPriority w:val="99"/>
    <w:qFormat/>
    <w:pPr>
      <w:jc w:val="center"/>
      <w:spacing w:before="100" w:beforeAutospacing="1" w:after="100" w:afterAutospacing="1"/>
      <w:widowControl/>
      <w:pBdr>
        <w:bottom w:val="single" w:color="000000" w:sz="4" w:space="0"/>
      </w:pBdr>
    </w:pPr>
    <w:rPr>
      <w:rFonts w:ascii="宋体" w:hAnsi="宋体" w:eastAsia="宋体" w:cs="宋体"/>
      <w:b/>
      <w:bCs/>
      <w:szCs w:val="28"/>
    </w:rPr>
  </w:style>
  <w:style w:type="paragraph" w:styleId="1011" w:customStyle="1">
    <w:name w:val="font8"/>
    <w:basedOn w:val="700"/>
    <w:uiPriority w:val="99"/>
    <w:qFormat/>
    <w:pPr>
      <w:jc w:val="left"/>
      <w:spacing w:before="100" w:beforeAutospacing="1" w:after="100" w:afterAutospacing="1"/>
      <w:widowControl/>
    </w:pPr>
    <w:rPr>
      <w:rFonts w:ascii="宋体" w:hAnsi="宋体" w:eastAsia="宋体" w:cs="宋体"/>
      <w:color w:val="000000"/>
      <w:sz w:val="20"/>
    </w:rPr>
  </w:style>
  <w:style w:type="paragraph" w:styleId="1012" w:customStyle="1">
    <w:name w:val="xl41319"/>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13" w:customStyle="1">
    <w:name w:val="xl41308"/>
    <w:basedOn w:val="700"/>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14" w:customStyle="1">
    <w:name w:val="xl129"/>
    <w:basedOn w:val="700"/>
    <w:uiPriority w:val="99"/>
    <w:qFormat/>
    <w:pPr>
      <w:jc w:val="center"/>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015" w:customStyle="1">
    <w:name w:val="xl24241"/>
    <w:basedOn w:val="70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16" w:customStyle="1">
    <w:name w:val="xl24272"/>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17" w:customStyle="1">
    <w:name w:val="xl112"/>
    <w:basedOn w:val="70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18" w:customStyle="1">
    <w:name w:val="Char Char Char Char Char Char Char Char Char1 Char"/>
    <w:basedOn w:val="718"/>
    <w:uiPriority w:val="99"/>
    <w:qFormat/>
    <w:pPr>
      <w:spacing w:line="360" w:lineRule="auto"/>
    </w:pPr>
    <w:rPr>
      <w:rFonts w:ascii="Tahoma" w:hAnsi="Tahoma" w:eastAsia="宋体"/>
      <w:sz w:val="24"/>
      <w:szCs w:val="24"/>
    </w:rPr>
  </w:style>
  <w:style w:type="paragraph" w:styleId="1019" w:customStyle="1">
    <w:name w:val="纯文本111"/>
    <w:basedOn w:val="700"/>
    <w:uiPriority w:val="99"/>
    <w:qFormat/>
    <w:rPr>
      <w:rFonts w:ascii="宋体" w:hAnsi="Courier New"/>
    </w:rPr>
  </w:style>
  <w:style w:type="paragraph" w:styleId="1020" w:customStyle="1">
    <w:name w:val="xl24255"/>
    <w:basedOn w:val="70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021" w:customStyle="1">
    <w:name w:val="Char"/>
    <w:basedOn w:val="700"/>
    <w:uiPriority w:val="99"/>
    <w:qFormat/>
    <w:rPr>
      <w:rFonts w:ascii="Tahoma" w:hAnsi="Tahoma" w:eastAsia="宋体"/>
      <w:sz w:val="24"/>
    </w:rPr>
  </w:style>
  <w:style w:type="paragraph" w:styleId="1022" w:customStyle="1">
    <w:name w:val="xl41317"/>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23" w:customStyle="1">
    <w:name w:val="5级方案标题"/>
    <w:basedOn w:val="704"/>
    <w:uiPriority w:val="99"/>
    <w:qFormat/>
    <w:pPr>
      <w:spacing w:before="0" w:after="0" w:line="376" w:lineRule="auto"/>
      <w:outlineLvl w:val="4"/>
    </w:pPr>
    <w:rPr>
      <w:rFonts w:ascii="宋体" w:hAnsi="宋体"/>
      <w:sz w:val="24"/>
      <w:lang w:val="zh-CN"/>
    </w:rPr>
  </w:style>
  <w:style w:type="paragraph" w:styleId="1024" w:customStyle="1">
    <w:name w:val="xl24229"/>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25" w:customStyle="1">
    <w:name w:val="xl24247"/>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26" w:customStyle="1">
    <w:name w:val="xl117"/>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027" w:customStyle="1">
    <w:name w:val="xl24263"/>
    <w:basedOn w:val="700"/>
    <w:uiPriority w:val="99"/>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sz w:val="20"/>
    </w:rPr>
  </w:style>
  <w:style w:type="paragraph" w:styleId="1028" w:customStyle="1">
    <w:name w:val="xl41301"/>
    <w:basedOn w:val="700"/>
    <w:uiPriority w:val="99"/>
    <w:qFormat/>
    <w:pPr>
      <w:jc w:val="center"/>
      <w:spacing w:before="100" w:beforeAutospacing="1" w:after="100" w:afterAutospacing="1"/>
      <w:shd w:val="clear" w:color="auto" w:fill="b6dde8"/>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29" w:customStyle="1">
    <w:name w:val="xl24269"/>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30" w:customStyle="1">
    <w:name w:val="xl24227"/>
    <w:basedOn w:val="700"/>
    <w:uiPriority w:val="99"/>
    <w:qFormat/>
    <w:pPr>
      <w:jc w:val="left"/>
      <w:spacing w:before="100" w:beforeAutospacing="1" w:after="100" w:afterAutospacing="1"/>
      <w:shd w:val="clear" w:color="auto" w:fill="acb9ca"/>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31" w:customStyle="1">
    <w:name w:val="xl41311"/>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32" w:customStyle="1">
    <w:name w:val="xl24259"/>
    <w:basedOn w:val="700"/>
    <w:uiPriority w:val="99"/>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sz w:val="20"/>
    </w:rPr>
  </w:style>
  <w:style w:type="paragraph" w:styleId="1033" w:customStyle="1">
    <w:name w:val="Char11"/>
    <w:basedOn w:val="718"/>
    <w:uiPriority w:val="99"/>
    <w:qFormat/>
    <w:pPr>
      <w:spacing w:line="360" w:lineRule="auto"/>
    </w:pPr>
    <w:rPr>
      <w:rFonts w:ascii="Tahoma" w:hAnsi="Tahoma" w:eastAsia="宋体"/>
      <w:sz w:val="24"/>
      <w:szCs w:val="24"/>
    </w:rPr>
  </w:style>
  <w:style w:type="paragraph" w:styleId="1034" w:customStyle="1">
    <w:name w:val="xl41334"/>
    <w:basedOn w:val="70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35" w:customStyle="1">
    <w:name w:val="xl41314"/>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36" w:customStyle="1">
    <w:name w:val="xl868"/>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37" w:customStyle="1">
    <w:name w:val="xl118"/>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038" w:customStyle="1">
    <w:name w:val="font10"/>
    <w:basedOn w:val="700"/>
    <w:uiPriority w:val="99"/>
    <w:qFormat/>
    <w:pPr>
      <w:jc w:val="left"/>
      <w:spacing w:before="100" w:beforeAutospacing="1" w:after="100" w:afterAutospacing="1"/>
      <w:widowControl/>
    </w:pPr>
    <w:rPr>
      <w:rFonts w:ascii="宋体" w:hAnsi="宋体" w:eastAsia="宋体" w:cs="宋体"/>
      <w:sz w:val="18"/>
      <w:szCs w:val="18"/>
    </w:rPr>
  </w:style>
  <w:style w:type="paragraph" w:styleId="1039" w:customStyle="1">
    <w:name w:val="font7"/>
    <w:basedOn w:val="700"/>
    <w:uiPriority w:val="99"/>
    <w:qFormat/>
    <w:pPr>
      <w:jc w:val="left"/>
      <w:spacing w:before="100" w:beforeAutospacing="1" w:after="100" w:afterAutospacing="1"/>
      <w:widowControl/>
    </w:pPr>
    <w:rPr>
      <w:rFonts w:eastAsia="宋体"/>
      <w:sz w:val="20"/>
    </w:rPr>
  </w:style>
  <w:style w:type="paragraph" w:styleId="1040" w:customStyle="1">
    <w:name w:val="xl41318"/>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41" w:customStyle="1">
    <w:name w:val="xl24244"/>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42" w:customStyle="1">
    <w:name w:val="xl111"/>
    <w:basedOn w:val="70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043" w:customStyle="1">
    <w:name w:val="xl113"/>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44" w:customStyle="1">
    <w:name w:val="xl109"/>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045" w:customStyle="1">
    <w:name w:val="xl24258"/>
    <w:basedOn w:val="70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046" w:customStyle="1">
    <w:name w:val="xl110"/>
    <w:basedOn w:val="70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47" w:customStyle="1">
    <w:name w:val="默认段落字体 Para Char Char Char Char Char Char Char"/>
    <w:basedOn w:val="700"/>
    <w:uiPriority w:val="99"/>
    <w:qFormat/>
    <w:pPr>
      <w:spacing w:line="360" w:lineRule="auto"/>
    </w:pPr>
    <w:rPr>
      <w:rFonts w:ascii="Tahoma" w:hAnsi="Tahoma" w:eastAsia="宋体"/>
      <w:sz w:val="24"/>
    </w:rPr>
  </w:style>
  <w:style w:type="paragraph" w:styleId="1048" w:customStyle="1">
    <w:name w:val="Plain Text1"/>
    <w:basedOn w:val="700"/>
    <w:uiPriority w:val="99"/>
    <w:qFormat/>
    <w:rPr>
      <w:rFonts w:ascii="宋体" w:hAnsi="Courier New"/>
    </w:rPr>
  </w:style>
  <w:style w:type="paragraph" w:styleId="1049" w:customStyle="1">
    <w:name w:val="xl41307"/>
    <w:basedOn w:val="700"/>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50" w:customStyle="1">
    <w:name w:val="xl88"/>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51" w:customStyle="1">
    <w:name w:val="xl41316"/>
    <w:basedOn w:val="70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52" w:customStyle="1">
    <w:name w:val="xl24243"/>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53" w:customStyle="1">
    <w:name w:val="Char1"/>
    <w:basedOn w:val="700"/>
    <w:uiPriority w:val="99"/>
    <w:qFormat/>
    <w:pPr>
      <w:ind w:left="252"/>
      <w:jc w:val="left"/>
      <w:spacing w:after="160" w:line="240" w:lineRule="exact"/>
      <w:widowControl/>
      <w:tabs>
        <w:tab w:val="left" w:pos="509" w:leader="none"/>
      </w:tabs>
    </w:pPr>
    <w:rPr>
      <w:rFonts w:ascii="Verdana" w:hAnsi="Verdana" w:eastAsia="仿宋_GB2312"/>
      <w:sz w:val="24"/>
      <w:lang w:eastAsia="en-US"/>
    </w:rPr>
  </w:style>
  <w:style w:type="paragraph" w:styleId="1054" w:customStyle="1">
    <w:name w:val="xl74"/>
    <w:basedOn w:val="700"/>
    <w:uiPriority w:val="99"/>
    <w:qFormat/>
    <w:pPr>
      <w:jc w:val="left"/>
      <w:spacing w:before="100" w:beforeAutospacing="1" w:after="100" w:afterAutospacing="1"/>
      <w:widowControl/>
    </w:pPr>
    <w:rPr>
      <w:rFonts w:ascii="宋体" w:hAnsi="宋体" w:eastAsia="宋体" w:cs="宋体"/>
      <w:sz w:val="24"/>
      <w:szCs w:val="24"/>
    </w:rPr>
  </w:style>
  <w:style w:type="paragraph" w:styleId="1055" w:customStyle="1">
    <w:name w:val="xl41293"/>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56" w:customStyle="1">
    <w:name w:val="Andy_一级"/>
    <w:basedOn w:val="764"/>
    <w:uiPriority w:val="99"/>
    <w:qFormat/>
    <w:pPr>
      <w:ind w:left="360" w:hanging="360"/>
      <w:keepNext/>
      <w:spacing w:line="360" w:lineRule="auto"/>
      <w:tabs>
        <w:tab w:val="left" w:pos="360" w:leader="none"/>
      </w:tabs>
    </w:pPr>
    <w:rPr>
      <w:b/>
      <w:sz w:val="24"/>
    </w:rPr>
  </w:style>
  <w:style w:type="paragraph" w:styleId="1057" w:customStyle="1">
    <w:name w:val="xl41294"/>
    <w:basedOn w:val="700"/>
    <w:uiPriority w:val="99"/>
    <w:qFormat/>
    <w:pPr>
      <w:jc w:val="left"/>
      <w:spacing w:before="100" w:beforeAutospacing="1" w:after="100" w:afterAutospacing="1"/>
      <w:widowControl/>
    </w:pPr>
    <w:rPr>
      <w:rFonts w:ascii="宋体" w:hAnsi="宋体" w:eastAsia="宋体" w:cs="宋体"/>
      <w:b/>
      <w:bCs/>
      <w:sz w:val="24"/>
      <w:szCs w:val="24"/>
    </w:rPr>
  </w:style>
  <w:style w:type="paragraph" w:styleId="1058" w:customStyle="1">
    <w:name w:val="xl24268"/>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59" w:customStyle="1">
    <w:name w:val="xl41299"/>
    <w:basedOn w:val="700"/>
    <w:uiPriority w:val="99"/>
    <w:qFormat/>
    <w:pPr>
      <w:jc w:val="left"/>
      <w:spacing w:before="100" w:beforeAutospacing="1" w:after="100" w:afterAutospacing="1"/>
      <w:widowControl/>
    </w:pPr>
    <w:rPr>
      <w:rFonts w:ascii="宋体" w:hAnsi="宋体" w:eastAsia="宋体" w:cs="宋体"/>
      <w:b/>
      <w:bCs/>
      <w:sz w:val="24"/>
      <w:szCs w:val="24"/>
    </w:rPr>
  </w:style>
  <w:style w:type="paragraph" w:styleId="1060" w:customStyle="1">
    <w:name w:val="xl93"/>
    <w:basedOn w:val="70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61" w:customStyle="1">
    <w:name w:val="[正文行首缩进]"/>
    <w:uiPriority w:val="99"/>
    <w:qFormat/>
    <w:pPr>
      <w:ind w:firstLine="480"/>
      <w:jc w:val="both"/>
      <w:spacing w:line="360" w:lineRule="auto"/>
      <w:widowControl w:val="off"/>
    </w:pPr>
    <w:rPr>
      <w:bCs/>
      <w:color w:val="000000"/>
      <w:sz w:val="24"/>
      <w:szCs w:val="24"/>
    </w:rPr>
  </w:style>
  <w:style w:type="paragraph" w:styleId="1062" w:customStyle="1">
    <w:name w:val="Char12"/>
    <w:basedOn w:val="700"/>
    <w:uiPriority w:val="99"/>
    <w:qFormat/>
    <w:pPr>
      <w:ind w:right="36"/>
      <w:jc w:val="left"/>
      <w:spacing w:after="160" w:line="240" w:lineRule="exact"/>
      <w:widowControl/>
    </w:pPr>
    <w:rPr>
      <w:rFonts w:ascii="Arial" w:hAnsi="Arial" w:eastAsia="Times New Roman"/>
      <w:sz w:val="20"/>
      <w:lang w:eastAsia="en-US"/>
    </w:rPr>
  </w:style>
  <w:style w:type="paragraph" w:styleId="1063" w:customStyle="1">
    <w:name w:val="xl104"/>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064" w:customStyle="1">
    <w:name w:val="xl24264"/>
    <w:basedOn w:val="700"/>
    <w:uiPriority w:val="99"/>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sz w:val="20"/>
    </w:rPr>
  </w:style>
  <w:style w:type="paragraph" w:styleId="1065" w:customStyle="1">
    <w:name w:val="xl41312"/>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66" w:customStyle="1">
    <w:name w:val="xl107"/>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67" w:customStyle="1">
    <w:name w:val="xl24245"/>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068" w:customStyle="1">
    <w:name w:val="xl24234"/>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69" w:customStyle="1">
    <w:name w:val="xl71"/>
    <w:basedOn w:val="70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70" w:customStyle="1">
    <w:name w:val="xl125"/>
    <w:basedOn w:val="700"/>
    <w:uiPriority w:val="99"/>
    <w:qFormat/>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71" w:customStyle="1">
    <w:name w:val="xl41324"/>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72" w:customStyle="1">
    <w:name w:val="xl84"/>
    <w:basedOn w:val="70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73" w:customStyle="1">
    <w:name w:val="Char Char Char1 Char Char Char Char"/>
    <w:basedOn w:val="700"/>
    <w:uiPriority w:val="99"/>
    <w:qFormat/>
    <w:pPr>
      <w:jc w:val="left"/>
      <w:spacing w:after="160" w:line="240" w:lineRule="exact"/>
      <w:widowControl/>
    </w:pPr>
    <w:rPr>
      <w:rFonts w:eastAsia="宋体"/>
      <w:sz w:val="24"/>
      <w:szCs w:val="24"/>
    </w:rPr>
  </w:style>
  <w:style w:type="paragraph" w:styleId="1074" w:customStyle="1">
    <w:name w:val="Char Char Char1"/>
    <w:basedOn w:val="718"/>
    <w:uiPriority w:val="99"/>
    <w:qFormat/>
    <w:pPr>
      <w:spacing w:line="360" w:lineRule="auto"/>
    </w:pPr>
    <w:rPr>
      <w:rFonts w:ascii="Tahoma" w:hAnsi="Tahoma" w:eastAsia="宋体"/>
      <w:sz w:val="24"/>
      <w:szCs w:val="24"/>
    </w:rPr>
  </w:style>
  <w:style w:type="paragraph" w:styleId="1075" w:customStyle="1">
    <w:name w:val="xl97"/>
    <w:basedOn w:val="70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076" w:customStyle="1">
    <w:name w:val="xl128"/>
    <w:basedOn w:val="700"/>
    <w:uiPriority w:val="99"/>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77" w:customStyle="1">
    <w:name w:val="msolistparagraph"/>
    <w:basedOn w:val="700"/>
    <w:uiPriority w:val="99"/>
    <w:qFormat/>
    <w:pPr>
      <w:ind w:firstLine="420"/>
    </w:pPr>
    <w:rPr>
      <w:rFonts w:ascii="Calibri" w:hAnsi="Calibri" w:eastAsia="宋体"/>
      <w:sz w:val="21"/>
      <w:szCs w:val="22"/>
    </w:rPr>
  </w:style>
  <w:style w:type="paragraph" w:styleId="1078" w:customStyle="1">
    <w:name w:val="xl116"/>
    <w:basedOn w:val="70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79" w:customStyle="1">
    <w:name w:val="xl85"/>
    <w:basedOn w:val="700"/>
    <w:uiPriority w:val="99"/>
    <w:qFormat/>
    <w:pPr>
      <w:jc w:val="left"/>
      <w:spacing w:before="100" w:beforeAutospacing="1" w:after="100" w:afterAutospacing="1"/>
      <w:widowControl/>
    </w:pPr>
    <w:rPr>
      <w:rFonts w:ascii="宋体" w:hAnsi="宋体" w:eastAsia="宋体" w:cs="宋体"/>
      <w:sz w:val="24"/>
      <w:szCs w:val="24"/>
    </w:rPr>
  </w:style>
  <w:style w:type="paragraph" w:styleId="1080" w:customStyle="1">
    <w:name w:val="xl24228"/>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81" w:customStyle="1">
    <w:name w:val="xl73"/>
    <w:basedOn w:val="70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82" w:customStyle="1">
    <w:name w:val="xl81"/>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83" w:customStyle="1">
    <w:name w:val="xl103"/>
    <w:basedOn w:val="70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084" w:customStyle="1">
    <w:name w:val="Char Char3"/>
    <w:basedOn w:val="700"/>
    <w:uiPriority w:val="99"/>
    <w:qFormat/>
    <w:rPr>
      <w:rFonts w:eastAsia="宋体"/>
      <w:b/>
      <w:i/>
      <w:sz w:val="24"/>
      <w:szCs w:val="24"/>
    </w:rPr>
  </w:style>
  <w:style w:type="paragraph" w:styleId="1085" w:customStyle="1">
    <w:name w:val="xl124"/>
    <w:basedOn w:val="700"/>
    <w:uiPriority w:val="99"/>
    <w:qFormat/>
    <w:pPr>
      <w:jc w:val="left"/>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086" w:customStyle="1">
    <w:name w:val="xl76"/>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87" w:customStyle="1">
    <w:name w:val="xl24270"/>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088" w:customStyle="1">
    <w:name w:val="xl41297"/>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89" w:customStyle="1">
    <w:name w:val="reader-word-layer reader-word-s7-11"/>
    <w:basedOn w:val="700"/>
    <w:uiPriority w:val="99"/>
    <w:qFormat/>
    <w:pPr>
      <w:jc w:val="left"/>
      <w:spacing w:before="100" w:beforeAutospacing="1" w:after="100" w:afterAutospacing="1"/>
      <w:widowControl/>
    </w:pPr>
    <w:rPr>
      <w:rFonts w:ascii="宋体" w:hAnsi="宋体" w:eastAsia="宋体" w:cs="宋体"/>
      <w:sz w:val="24"/>
      <w:szCs w:val="24"/>
    </w:rPr>
  </w:style>
  <w:style w:type="paragraph" w:styleId="1090" w:customStyle="1">
    <w:name w:val="xl98"/>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91" w:customStyle="1">
    <w:name w:val="xl41331"/>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92" w:customStyle="1">
    <w:name w:val="xl135"/>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93" w:customStyle="1">
    <w:name w:val="列出段落2"/>
    <w:basedOn w:val="700"/>
    <w:uiPriority w:val="99"/>
    <w:qFormat/>
    <w:pPr>
      <w:ind w:firstLine="420"/>
    </w:pPr>
    <w:rPr>
      <w:sz w:val="26"/>
    </w:rPr>
  </w:style>
  <w:style w:type="paragraph" w:styleId="1094" w:customStyle="1">
    <w:name w:val="xl24236"/>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095" w:customStyle="1">
    <w:name w:val="2级方案标题"/>
    <w:basedOn w:val="702"/>
    <w:uiPriority w:val="99"/>
    <w:qFormat/>
    <w:pPr>
      <w:jc w:val="both"/>
      <w:spacing w:before="100" w:beforeAutospacing="1" w:after="100" w:afterAutospacing="1"/>
      <w:tabs>
        <w:tab w:val="left" w:pos="1002" w:leader="none"/>
        <w:tab w:val="left" w:pos="2717" w:leader="none"/>
      </w:tabs>
    </w:pPr>
    <w:rPr>
      <w:rFonts w:eastAsia="宋体" w:cs="Times New Roman"/>
      <w:color w:val="000000"/>
      <w:sz w:val="32"/>
      <w:szCs w:val="32"/>
    </w:rPr>
  </w:style>
  <w:style w:type="paragraph" w:styleId="1096" w:customStyle="1">
    <w:name w:val="xl41300"/>
    <w:basedOn w:val="700"/>
    <w:uiPriority w:val="99"/>
    <w:qFormat/>
    <w:pPr>
      <w:jc w:val="center"/>
      <w:spacing w:before="100" w:beforeAutospacing="1" w:after="100" w:afterAutospacing="1"/>
      <w:widowControl/>
    </w:pPr>
    <w:rPr>
      <w:rFonts w:ascii="宋体" w:hAnsi="宋体" w:eastAsia="宋体" w:cs="宋体"/>
      <w:sz w:val="24"/>
      <w:szCs w:val="24"/>
    </w:rPr>
  </w:style>
  <w:style w:type="paragraph" w:styleId="1097" w:customStyle="1">
    <w:name w:val="xl24253"/>
    <w:basedOn w:val="70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rPr>
  </w:style>
  <w:style w:type="paragraph" w:styleId="1098" w:customStyle="1">
    <w:name w:val="xl24235"/>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99" w:customStyle="1">
    <w:name w:val="xl41333"/>
    <w:basedOn w:val="70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rPr>
  </w:style>
  <w:style w:type="paragraph" w:styleId="1100" w:customStyle="1">
    <w:name w:val="xl41332"/>
    <w:basedOn w:val="70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rPr>
  </w:style>
  <w:style w:type="paragraph" w:styleId="1101" w:customStyle="1">
    <w:name w:val="font5"/>
    <w:basedOn w:val="700"/>
    <w:uiPriority w:val="99"/>
    <w:qFormat/>
    <w:pPr>
      <w:jc w:val="left"/>
      <w:spacing w:before="100" w:beforeAutospacing="1" w:after="100" w:afterAutospacing="1"/>
      <w:widowControl/>
    </w:pPr>
    <w:rPr>
      <w:rFonts w:ascii="宋体" w:hAnsi="宋体" w:eastAsia="宋体" w:cs="宋体"/>
      <w:sz w:val="18"/>
      <w:szCs w:val="18"/>
    </w:rPr>
  </w:style>
  <w:style w:type="paragraph" w:styleId="1102" w:customStyle="1">
    <w:name w:val="修订1"/>
    <w:uiPriority w:val="99"/>
    <w:semiHidden/>
    <w:qFormat/>
    <w:rPr>
      <w:rFonts w:eastAsia="楷体_GB2312"/>
      <w:sz w:val="28"/>
    </w:rPr>
  </w:style>
  <w:style w:type="paragraph" w:styleId="1103" w:customStyle="1">
    <w:name w:val="xl91"/>
    <w:basedOn w:val="700"/>
    <w:uiPriority w:val="99"/>
    <w:qFormat/>
    <w:pPr>
      <w:jc w:val="left"/>
      <w:spacing w:before="100" w:beforeAutospacing="1" w:after="100" w:afterAutospacing="1"/>
      <w:shd w:val="clear" w:color="auto" w:fill="ffffff"/>
      <w:widowControl/>
    </w:pPr>
    <w:rPr>
      <w:rFonts w:ascii="宋体" w:hAnsi="宋体" w:eastAsia="宋体" w:cs="宋体"/>
      <w:sz w:val="24"/>
      <w:szCs w:val="24"/>
    </w:rPr>
  </w:style>
  <w:style w:type="paragraph" w:styleId="1104" w:customStyle="1">
    <w:name w:val="xl90"/>
    <w:basedOn w:val="70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05" w:customStyle="1">
    <w:name w:val="xl41323"/>
    <w:basedOn w:val="70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06" w:customStyle="1">
    <w:name w:val="xl132"/>
    <w:basedOn w:val="700"/>
    <w:uiPriority w:val="99"/>
    <w:qFormat/>
    <w:pPr>
      <w:jc w:val="center"/>
      <w:spacing w:before="100" w:beforeAutospacing="1" w:after="100" w:afterAutospacing="1"/>
      <w:shd w:val="clear" w:color="auto" w:fill="ffffff"/>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07" w:customStyle="1">
    <w:name w:val="Char2 Char Char Char Char Char Char Char Char Char"/>
    <w:basedOn w:val="700"/>
    <w:uiPriority w:val="99"/>
    <w:qFormat/>
    <w:pPr>
      <w:ind w:firstLine="200"/>
      <w:spacing w:line="360" w:lineRule="auto"/>
    </w:pPr>
  </w:style>
  <w:style w:type="paragraph" w:styleId="1108" w:customStyle="1">
    <w:name w:val="xl41335"/>
    <w:basedOn w:val="70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109" w:customStyle="1">
    <w:name w:val="xl41295"/>
    <w:basedOn w:val="700"/>
    <w:uiPriority w:val="99"/>
    <w:qFormat/>
    <w:pPr>
      <w:jc w:val="left"/>
      <w:spacing w:before="100" w:beforeAutospacing="1" w:after="100" w:afterAutospacing="1"/>
      <w:widowControl/>
    </w:pPr>
    <w:rPr>
      <w:rFonts w:ascii="宋体" w:hAnsi="宋体" w:eastAsia="宋体" w:cs="宋体"/>
      <w:b/>
      <w:bCs/>
      <w:sz w:val="24"/>
      <w:szCs w:val="24"/>
    </w:rPr>
  </w:style>
  <w:style w:type="paragraph" w:styleId="1110" w:customStyle="1">
    <w:name w:val="4级方案标题"/>
    <w:basedOn w:val="700"/>
    <w:uiPriority w:val="99"/>
    <w:qFormat/>
    <w:pPr>
      <w:spacing w:before="100" w:beforeAutospacing="1" w:after="100" w:afterAutospacing="1" w:line="360" w:lineRule="auto"/>
      <w:outlineLvl w:val="3"/>
    </w:pPr>
    <w:rPr>
      <w:rFonts w:ascii="等线" w:hAnsi="等线" w:eastAsia="宋体"/>
      <w:b/>
      <w:sz w:val="24"/>
      <w:szCs w:val="28"/>
    </w:rPr>
  </w:style>
  <w:style w:type="paragraph" w:styleId="1111" w:customStyle="1">
    <w:name w:val="xl24233"/>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12" w:customStyle="1">
    <w:name w:val="xl41337"/>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13" w:customStyle="1">
    <w:name w:val="首行缩进"/>
    <w:basedOn w:val="700"/>
    <w:uiPriority w:val="99"/>
    <w:qFormat/>
    <w:pPr>
      <w:ind w:firstLine="480"/>
    </w:pPr>
    <w:rPr>
      <w:rFonts w:ascii="宋体" w:hAnsi="宋体"/>
      <w:szCs w:val="24"/>
      <w:lang w:val="zh-CN"/>
    </w:rPr>
  </w:style>
  <w:style w:type="paragraph" w:styleId="1114" w:customStyle="1">
    <w:name w:val="xl114"/>
    <w:basedOn w:val="70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115" w:customStyle="1">
    <w:name w:val="xl86"/>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16" w:customStyle="1">
    <w:name w:val="xl24239"/>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117" w:customStyle="1">
    <w:name w:val="xl41321"/>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18" w:customStyle="1">
    <w:name w:val="xl41338"/>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19" w:customStyle="1">
    <w:name w:val="xl24266"/>
    <w:basedOn w:val="70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32"/>
      <w:szCs w:val="32"/>
    </w:rPr>
  </w:style>
  <w:style w:type="paragraph" w:styleId="1120" w:customStyle="1">
    <w:name w:val="xl119"/>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21" w:customStyle="1">
    <w:name w:val="xl24240"/>
    <w:basedOn w:val="70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22" w:customStyle="1">
    <w:name w:val="xl24237"/>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123" w:customStyle="1">
    <w:name w:val="xl134"/>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124" w:customStyle="1">
    <w:name w:val="纯文本3"/>
    <w:basedOn w:val="700"/>
    <w:uiPriority w:val="99"/>
    <w:qFormat/>
    <w:rPr>
      <w:rFonts w:ascii="宋体" w:hAnsi="Courier New"/>
      <w:sz w:val="26"/>
    </w:rPr>
  </w:style>
  <w:style w:type="paragraph" w:styleId="1125" w:customStyle="1">
    <w:name w:val="xl41327"/>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26" w:customStyle="1">
    <w:name w:val="1级方案标题"/>
    <w:basedOn w:val="700"/>
    <w:uiPriority w:val="99"/>
    <w:qFormat/>
    <w:pPr>
      <w:jc w:val="center"/>
      <w:keepLines/>
      <w:keepNext/>
      <w:spacing w:before="340" w:after="330" w:line="360" w:lineRule="auto"/>
      <w:tabs>
        <w:tab w:val="left" w:pos="1418" w:leader="none"/>
      </w:tabs>
      <w:outlineLvl w:val="0"/>
    </w:pPr>
    <w:rPr>
      <w:rFonts w:ascii="宋体" w:hAnsi="宋体" w:eastAsia="宋体"/>
      <w:b/>
      <w:bCs/>
      <w:sz w:val="44"/>
      <w:szCs w:val="44"/>
    </w:rPr>
  </w:style>
  <w:style w:type="paragraph" w:styleId="1127" w:customStyle="1">
    <w:name w:val="xl82"/>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28" w:customStyle="1">
    <w:name w:val="xl41309"/>
    <w:basedOn w:val="700"/>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9" w:customStyle="1">
    <w:name w:val="xl24242"/>
    <w:basedOn w:val="70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30" w:customStyle="1">
    <w:name w:val="xl95"/>
    <w:basedOn w:val="700"/>
    <w:uiPriority w:val="99"/>
    <w:qFormat/>
    <w:pPr>
      <w:jc w:val="left"/>
      <w:spacing w:before="100" w:beforeAutospacing="1" w:after="100" w:afterAutospacing="1"/>
      <w:shd w:val="clear" w:color="auto"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131" w:customStyle="1">
    <w:name w:val="xl102"/>
    <w:basedOn w:val="70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32" w:customStyle="1">
    <w:name w:val="xl123"/>
    <w:basedOn w:val="700"/>
    <w:uiPriority w:val="99"/>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133" w:customStyle="1">
    <w:name w:val="xl24260"/>
    <w:basedOn w:val="700"/>
    <w:uiPriority w:val="99"/>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sz w:val="20"/>
    </w:rPr>
  </w:style>
  <w:style w:type="paragraph" w:styleId="1134" w:customStyle="1">
    <w:name w:val="xl24232"/>
    <w:basedOn w:val="70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5" w:customStyle="1">
    <w:name w:val="xl24238"/>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36" w:customStyle="1">
    <w:name w:val="xl24225"/>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37" w:customStyle="1">
    <w:name w:val="xl78"/>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38" w:customStyle="1">
    <w:name w:val="xl24230"/>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39" w:customStyle="1">
    <w:name w:val="xl24261"/>
    <w:basedOn w:val="700"/>
    <w:uiPriority w:val="99"/>
    <w:qFormat/>
    <w:pPr>
      <w:jc w:val="center"/>
      <w:spacing w:before="100" w:beforeAutospacing="1" w:after="100" w:afterAutospacing="1"/>
      <w:widowControl/>
      <w:pBdr>
        <w:left w:val="single" w:color="000000" w:sz="4" w:space="0"/>
      </w:pBdr>
    </w:pPr>
    <w:rPr>
      <w:rFonts w:ascii="宋体" w:hAnsi="宋体" w:eastAsia="宋体" w:cs="宋体"/>
      <w:sz w:val="20"/>
    </w:rPr>
  </w:style>
  <w:style w:type="paragraph" w:styleId="1140" w:customStyle="1">
    <w:name w:val="Char Char1 Char Char Char Char Char Char Char"/>
    <w:basedOn w:val="700"/>
    <w:uiPriority w:val="99"/>
    <w:qFormat/>
    <w:rPr>
      <w:rFonts w:eastAsia="宋体"/>
      <w:sz w:val="21"/>
    </w:rPr>
  </w:style>
  <w:style w:type="paragraph" w:styleId="1141" w:customStyle="1">
    <w:name w:val="xl24231"/>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2" w:customStyle="1">
    <w:name w:val="Char Char Char Char Char Char Char Char1 Char Char Char Char"/>
    <w:basedOn w:val="718"/>
    <w:uiPriority w:val="99"/>
    <w:qFormat/>
    <w:pPr>
      <w:spacing w:line="360" w:lineRule="auto"/>
    </w:pPr>
  </w:style>
  <w:style w:type="paragraph" w:styleId="1143" w:customStyle="1">
    <w:name w:val="Char Char Char Char Char Char Char Char Char"/>
    <w:basedOn w:val="700"/>
    <w:uiPriority w:val="99"/>
    <w:qFormat/>
    <w:pPr>
      <w:jc w:val="left"/>
      <w:spacing w:after="160" w:line="240" w:lineRule="exact"/>
      <w:widowControl/>
    </w:pPr>
    <w:rPr>
      <w:rFonts w:eastAsia="宋体"/>
      <w:sz w:val="24"/>
      <w:szCs w:val="24"/>
    </w:rPr>
  </w:style>
  <w:style w:type="paragraph" w:styleId="1144" w:customStyle="1">
    <w:name w:val="xl41306"/>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45" w:customStyle="1">
    <w:name w:val="xl99"/>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46" w:customStyle="1">
    <w:name w:val="xl24267"/>
    <w:basedOn w:val="70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32"/>
      <w:szCs w:val="32"/>
    </w:rPr>
  </w:style>
  <w:style w:type="paragraph" w:styleId="1147" w:customStyle="1">
    <w:name w:val="Plain Text2"/>
    <w:basedOn w:val="700"/>
    <w:uiPriority w:val="99"/>
    <w:qFormat/>
    <w:rPr>
      <w:rFonts w:ascii="宋体" w:hAnsi="Courier New"/>
      <w:sz w:val="26"/>
      <w:szCs w:val="24"/>
    </w:rPr>
  </w:style>
  <w:style w:type="paragraph" w:styleId="1148" w:customStyle="1">
    <w:name w:val="xl101"/>
    <w:basedOn w:val="70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149" w:customStyle="1">
    <w:name w:val="xl41329"/>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50" w:customStyle="1">
    <w:name w:val="xl80"/>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51" w:customStyle="1">
    <w:name w:val="xl24249"/>
    <w:basedOn w:val="70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52" w:customStyle="1">
    <w:name w:val="xl24226"/>
    <w:basedOn w:val="700"/>
    <w:uiPriority w:val="99"/>
    <w:qFormat/>
    <w:pPr>
      <w:jc w:val="center"/>
      <w:spacing w:before="100" w:beforeAutospacing="1" w:after="100" w:afterAutospacing="1"/>
      <w:shd w:val="clear" w:color="auto" w:fill="acb9ca"/>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3" w:customStyle="1">
    <w:name w:val="xl24271"/>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54" w:customStyle="1">
    <w:name w:val="xl105"/>
    <w:basedOn w:val="70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155" w:customStyle="1">
    <w:name w:val="xl41310"/>
    <w:basedOn w:val="700"/>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6" w:customStyle="1">
    <w:name w:val="xl121"/>
    <w:basedOn w:val="70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57" w:customStyle="1">
    <w:name w:val="正文2"/>
    <w:basedOn w:val="700"/>
    <w:uiPriority w:val="99"/>
    <w:qFormat/>
    <w:pPr>
      <w:ind w:firstLine="200"/>
      <w:jc w:val="left"/>
      <w:spacing w:after="160" w:line="360" w:lineRule="auto"/>
      <w:widowControl/>
    </w:pPr>
    <w:rPr>
      <w:rFonts w:ascii="Verdana" w:hAnsi="Verdana" w:eastAsia="黑体"/>
      <w:sz w:val="21"/>
      <w:lang w:eastAsia="en-US"/>
    </w:rPr>
  </w:style>
  <w:style w:type="paragraph" w:styleId="1158" w:customStyle="1">
    <w:name w:val="xl96"/>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59" w:customStyle="1">
    <w:name w:val="xl75"/>
    <w:basedOn w:val="700"/>
    <w:uiPriority w:val="99"/>
    <w:qFormat/>
    <w:pPr>
      <w:jc w:val="left"/>
      <w:spacing w:before="100" w:beforeAutospacing="1" w:after="100" w:afterAutospacing="1"/>
      <w:widowControl/>
    </w:pPr>
    <w:rPr>
      <w:rFonts w:ascii="宋体" w:hAnsi="宋体" w:eastAsia="宋体" w:cs="宋体"/>
      <w:sz w:val="24"/>
      <w:szCs w:val="24"/>
    </w:rPr>
  </w:style>
  <w:style w:type="paragraph" w:styleId="1160" w:customStyle="1">
    <w:name w:val="Char Char Char Char Char Char Char Char Char1 Char1"/>
    <w:basedOn w:val="718"/>
    <w:uiPriority w:val="99"/>
    <w:qFormat/>
    <w:pPr>
      <w:spacing w:line="360" w:lineRule="auto"/>
    </w:pPr>
    <w:rPr>
      <w:rFonts w:ascii="Tahoma" w:hAnsi="Tahoma" w:eastAsia="宋体"/>
      <w:sz w:val="24"/>
      <w:szCs w:val="24"/>
    </w:rPr>
  </w:style>
  <w:style w:type="paragraph" w:styleId="1161" w:customStyle="1">
    <w:name w:val="xl24250"/>
    <w:basedOn w:val="70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162" w:customStyle="1">
    <w:name w:val="xl70"/>
    <w:basedOn w:val="700"/>
    <w:uiPriority w:val="99"/>
    <w:qFormat/>
    <w:pPr>
      <w:jc w:val="left"/>
      <w:spacing w:before="100" w:beforeAutospacing="1" w:after="100" w:afterAutospacing="1"/>
      <w:shd w:val="clear" w:color="auto" w:fill="ffffff"/>
      <w:widowControl/>
    </w:pPr>
    <w:rPr>
      <w:rFonts w:ascii="宋体" w:hAnsi="宋体" w:eastAsia="宋体" w:cs="宋体"/>
      <w:sz w:val="24"/>
      <w:szCs w:val="24"/>
    </w:rPr>
  </w:style>
  <w:style w:type="paragraph" w:styleId="1163" w:customStyle="1">
    <w:name w:val="xl24252"/>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0"/>
    </w:rPr>
  </w:style>
  <w:style w:type="paragraph" w:styleId="1164" w:customStyle="1">
    <w:name w:val="xl41326"/>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65" w:customStyle="1">
    <w:name w:val="Char Char Char Char Char Char Char Char Char Char1"/>
    <w:basedOn w:val="700"/>
    <w:uiPriority w:val="99"/>
    <w:qFormat/>
    <w:pPr>
      <w:ind w:left="420" w:hanging="420"/>
      <w:tabs>
        <w:tab w:val="left" w:pos="420" w:leader="none"/>
      </w:tabs>
    </w:pPr>
    <w:rPr>
      <w:rFonts w:eastAsia="宋体"/>
      <w:sz w:val="24"/>
      <w:szCs w:val="24"/>
    </w:rPr>
  </w:style>
  <w:style w:type="paragraph" w:styleId="1166" w:customStyle="1">
    <w:name w:val="xl87"/>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67" w:customStyle="1">
    <w:name w:val="xl41298"/>
    <w:basedOn w:val="700"/>
    <w:uiPriority w:val="99"/>
    <w:qFormat/>
    <w:pPr>
      <w:jc w:val="left"/>
      <w:spacing w:before="100" w:beforeAutospacing="1" w:after="100" w:afterAutospacing="1"/>
      <w:widowControl/>
    </w:pPr>
    <w:rPr>
      <w:rFonts w:ascii="宋体" w:hAnsi="宋体" w:eastAsia="宋体" w:cs="宋体"/>
      <w:b/>
      <w:bCs/>
      <w:sz w:val="24"/>
      <w:szCs w:val="24"/>
    </w:rPr>
  </w:style>
  <w:style w:type="paragraph" w:styleId="1168" w:customStyle="1">
    <w:name w:val="_Style 30"/>
    <w:basedOn w:val="700"/>
    <w:next w:val="724"/>
    <w:uiPriority w:val="99"/>
    <w:qFormat/>
    <w:rPr>
      <w:rFonts w:ascii="宋体" w:hAnsi="Courier New" w:eastAsia="宋体"/>
      <w:sz w:val="21"/>
    </w:rPr>
  </w:style>
  <w:style w:type="paragraph" w:styleId="1169" w:customStyle="1">
    <w:name w:val="xl41296"/>
    <w:basedOn w:val="700"/>
    <w:uiPriority w:val="99"/>
    <w:qFormat/>
    <w:pPr>
      <w:jc w:val="center"/>
      <w:spacing w:before="100" w:beforeAutospacing="1" w:after="100" w:afterAutospacing="1"/>
      <w:widowControl/>
    </w:pPr>
    <w:rPr>
      <w:rFonts w:ascii="宋体" w:hAnsi="宋体" w:eastAsia="宋体" w:cs="宋体"/>
      <w:sz w:val="24"/>
      <w:szCs w:val="24"/>
    </w:rPr>
  </w:style>
  <w:style w:type="paragraph" w:styleId="1170" w:customStyle="1">
    <w:name w:val="Char Char1 Char"/>
    <w:basedOn w:val="718"/>
    <w:uiPriority w:val="99"/>
    <w:qFormat/>
    <w:pPr>
      <w:spacing w:line="360" w:lineRule="auto"/>
    </w:pPr>
    <w:rPr>
      <w:rFonts w:ascii="Tahoma" w:hAnsi="Tahoma" w:eastAsia="宋体"/>
      <w:sz w:val="24"/>
      <w:szCs w:val="24"/>
    </w:rPr>
  </w:style>
  <w:style w:type="paragraph" w:styleId="1171" w:customStyle="1">
    <w:name w:val="xl41313"/>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2" w:customStyle="1">
    <w:name w:val="xl41302"/>
    <w:basedOn w:val="700"/>
    <w:uiPriority w:val="99"/>
    <w:qFormat/>
    <w:pPr>
      <w:jc w:val="left"/>
      <w:spacing w:before="100" w:beforeAutospacing="1" w:after="100" w:afterAutospacing="1"/>
      <w:shd w:val="clear" w:color="auto" w:fill="b6dde8"/>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73" w:customStyle="1">
    <w:name w:val="xl131"/>
    <w:basedOn w:val="700"/>
    <w:uiPriority w:val="99"/>
    <w:qFormat/>
    <w:pPr>
      <w:jc w:val="center"/>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174" w:customStyle="1">
    <w:name w:val="font6"/>
    <w:basedOn w:val="700"/>
    <w:uiPriority w:val="99"/>
    <w:qFormat/>
    <w:pPr>
      <w:jc w:val="left"/>
      <w:spacing w:before="100" w:beforeAutospacing="1" w:after="100" w:afterAutospacing="1"/>
      <w:widowControl/>
    </w:pPr>
    <w:rPr>
      <w:rFonts w:ascii="宋体" w:hAnsi="宋体" w:eastAsia="宋体" w:cs="宋体"/>
      <w:sz w:val="20"/>
    </w:rPr>
  </w:style>
  <w:style w:type="paragraph" w:styleId="1175" w:customStyle="1">
    <w:name w:val="xl120"/>
    <w:basedOn w:val="70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176" w:customStyle="1">
    <w:name w:val="xl89"/>
    <w:basedOn w:val="70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7" w:customStyle="1">
    <w:name w:val="xl41305"/>
    <w:basedOn w:val="70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78" w:customStyle="1">
    <w:name w:val="xl41315"/>
    <w:basedOn w:val="70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79" w:customStyle="1">
    <w:name w:val="xl122"/>
    <w:basedOn w:val="70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80" w:customStyle="1">
    <w:name w:val="xl92"/>
    <w:basedOn w:val="70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81" w:customStyle="1">
    <w:name w:val="xl24251"/>
    <w:basedOn w:val="70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82" w:customStyle="1">
    <w:name w:val="xl94"/>
    <w:basedOn w:val="700"/>
    <w:uiPriority w:val="99"/>
    <w:qFormat/>
    <w:pPr>
      <w:jc w:val="left"/>
      <w:spacing w:before="100" w:beforeAutospacing="1" w:after="100" w:afterAutospacing="1"/>
      <w:shd w:val="clear" w:color="auto" w:fill="ffffff"/>
      <w:widowControl/>
    </w:pPr>
    <w:rPr>
      <w:rFonts w:ascii="微软雅黑" w:hAnsi="微软雅黑" w:eastAsia="微软雅黑" w:cs="宋体"/>
      <w:sz w:val="20"/>
    </w:rPr>
  </w:style>
  <w:style w:type="paragraph" w:styleId="1183" w:customStyle="1">
    <w:name w:val="xl41303"/>
    <w:basedOn w:val="70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84" w:customStyle="1">
    <w:name w:val="font1"/>
    <w:basedOn w:val="700"/>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185" w:customStyle="1">
    <w:name w:val="修订2"/>
    <w:qFormat/>
    <w:rPr>
      <w:rFonts w:eastAsia="楷体_GB2312"/>
      <w:sz w:val="28"/>
    </w:rPr>
  </w:style>
  <w:style w:type="paragraph" w:styleId="1186" w:customStyle="1">
    <w:name w:val="一级条标题"/>
    <w:next w:val="984"/>
    <w:uiPriority w:val="99"/>
    <w:qFormat/>
    <w:pPr>
      <w:outlineLvl w:val="2"/>
    </w:pPr>
    <w:rPr>
      <w:rFonts w:ascii="黑体" w:eastAsia="黑体"/>
      <w:sz w:val="21"/>
      <w:szCs w:val="21"/>
    </w:rPr>
  </w:style>
  <w:style w:type="paragraph" w:styleId="1187" w:customStyle="1">
    <w:name w:val="Normal_0_2"/>
    <w:uiPriority w:val="99"/>
    <w:qFormat/>
    <w:rPr>
      <w:rFonts w:ascii="Calibri" w:hAnsi="Calibri" w:eastAsia="Times New Roman"/>
      <w:sz w:val="24"/>
      <w:szCs w:val="24"/>
    </w:rPr>
  </w:style>
  <w:style w:type="paragraph" w:styleId="1188" w:customStyle="1">
    <w:name w:val="普通正文"/>
    <w:basedOn w:val="700"/>
    <w:uiPriority w:val="99"/>
    <w:qFormat/>
    <w:pPr>
      <w:ind w:firstLine="480"/>
      <w:jc w:val="left"/>
      <w:spacing w:before="120" w:after="120" w:line="360" w:lineRule="auto"/>
    </w:pPr>
    <w:rPr>
      <w:rFonts w:ascii="Arial" w:hAnsi="Arial"/>
      <w:sz w:val="24"/>
    </w:rPr>
  </w:style>
  <w:style w:type="paragraph" w:styleId="1189" w:customStyle="1">
    <w:name w:val="Normal_19"/>
    <w:uiPriority w:val="99"/>
    <w:qFormat/>
    <w:rPr>
      <w:rFonts w:ascii="Calibri" w:hAnsi="Calibri" w:eastAsia="Times New Roman"/>
      <w:sz w:val="24"/>
      <w:szCs w:val="24"/>
    </w:rPr>
  </w:style>
  <w:style w:type="paragraph" w:styleId="1190" w:customStyle="1">
    <w:name w:val="修订3"/>
    <w:uiPriority w:val="99"/>
    <w:qFormat/>
    <w:rPr>
      <w:rFonts w:eastAsia="楷体_GB2312"/>
      <w:sz w:val="28"/>
    </w:rPr>
  </w:style>
  <w:style w:type="character" w:styleId="1191" w:customStyle="1">
    <w:name w:val="批注主题 Char1"/>
    <w:uiPriority w:val="99"/>
    <w:semiHidden/>
    <w:qFormat/>
    <w:rPr>
      <w:rFonts w:hint="eastAsia" w:ascii="楷体_GB2312" w:eastAsia="楷体_GB2312"/>
      <w:b/>
      <w:bCs/>
      <w:sz w:val="28"/>
    </w:rPr>
  </w:style>
  <w:style w:type="character" w:styleId="1192" w:customStyle="1">
    <w:name w:val="font41"/>
    <w:qFormat/>
    <w:rPr>
      <w:rFonts w:hint="eastAsia" w:ascii="宋体" w:hAnsi="宋体" w:eastAsia="宋体" w:cs="宋体"/>
      <w:color w:val="000000"/>
      <w:sz w:val="20"/>
      <w:szCs w:val="20"/>
      <w:u w:val="none"/>
    </w:rPr>
  </w:style>
  <w:style w:type="character" w:styleId="1193" w:customStyle="1">
    <w:name w:val="font01"/>
    <w:qFormat/>
    <w:rPr>
      <w:rFonts w:hint="eastAsia" w:ascii="宋体" w:hAnsi="宋体" w:eastAsia="宋体" w:cs="宋体"/>
      <w:color w:val="ff0000"/>
      <w:sz w:val="22"/>
      <w:szCs w:val="22"/>
      <w:u w:val="none"/>
    </w:rPr>
  </w:style>
  <w:style w:type="character" w:styleId="1194" w:customStyle="1">
    <w:name w:val="标题 1 Char"/>
    <w:qFormat/>
    <w:rPr>
      <w:rFonts w:hint="eastAsia" w:ascii="楷体_GB2312" w:eastAsia="楷体_GB2312"/>
      <w:b/>
      <w:bCs/>
      <w:sz w:val="44"/>
      <w:szCs w:val="44"/>
    </w:rPr>
  </w:style>
  <w:style w:type="character" w:styleId="1195" w:customStyle="1">
    <w:name w:val="Char Char1"/>
    <w:qFormat/>
    <w:rPr>
      <w:rFonts w:hint="eastAsia" w:ascii="宋体" w:hAnsi="宋体" w:eastAsia="楷体_GB2312"/>
      <w:sz w:val="24"/>
      <w:lang w:val="en-US" w:eastAsia="zh-CN" w:bidi="ar-SA"/>
    </w:rPr>
  </w:style>
  <w:style w:type="character" w:styleId="1196" w:customStyle="1">
    <w:name w:val="font11"/>
    <w:qFormat/>
    <w:rPr>
      <w:rFonts w:hint="eastAsia" w:ascii="宋体" w:hAnsi="宋体" w:eastAsia="宋体" w:cs="宋体"/>
      <w:color w:val="000000"/>
      <w:sz w:val="22"/>
      <w:szCs w:val="22"/>
      <w:u w:val="none"/>
    </w:rPr>
  </w:style>
  <w:style w:type="character" w:styleId="1197" w:customStyle="1">
    <w:name w:val="表正文 Char"/>
    <w:qFormat/>
    <w:rPr>
      <w:rFonts w:hint="eastAsia" w:ascii="楷体_GB2312" w:eastAsia="楷体_GB2312"/>
      <w:sz w:val="24"/>
      <w:lang w:val="en-US" w:eastAsia="zh-CN" w:bidi="ar-SA"/>
    </w:rPr>
  </w:style>
  <w:style w:type="character" w:styleId="1198" w:customStyle="1">
    <w:name w:val="日期 Char1"/>
    <w:qFormat/>
    <w:rPr>
      <w:rFonts w:hint="eastAsia" w:ascii="楷体_GB2312" w:eastAsia="楷体_GB2312"/>
      <w:sz w:val="28"/>
    </w:rPr>
  </w:style>
  <w:style w:type="character" w:styleId="1199" w:customStyle="1">
    <w:name w:val="font21"/>
    <w:qFormat/>
    <w:rPr>
      <w:rFonts w:hint="eastAsia" w:ascii="宋体" w:hAnsi="宋体" w:eastAsia="宋体" w:cs="宋体"/>
      <w:color w:val="000000"/>
      <w:sz w:val="22"/>
      <w:szCs w:val="22"/>
      <w:u w:val="none"/>
    </w:rPr>
  </w:style>
  <w:style w:type="character" w:styleId="1200" w:customStyle="1">
    <w:name w:val="正文文本缩进 3 Char1"/>
    <w:qFormat/>
    <w:rPr>
      <w:rFonts w:ascii="Calibri" w:hAnsi="Calibri" w:cs="Calibri"/>
      <w:sz w:val="16"/>
      <w:szCs w:val="16"/>
    </w:rPr>
  </w:style>
  <w:style w:type="character" w:styleId="1201" w:customStyle="1">
    <w:name w:val="font221"/>
    <w:qFormat/>
    <w:rPr>
      <w:rFonts w:hint="eastAsia" w:ascii="宋体" w:hAnsi="宋体" w:eastAsia="宋体" w:cs="宋体"/>
      <w:b/>
      <w:color w:val="000000"/>
      <w:sz w:val="22"/>
      <w:szCs w:val="22"/>
      <w:u w:val="none"/>
    </w:rPr>
  </w:style>
  <w:style w:type="character" w:styleId="1202" w:customStyle="1">
    <w:name w:val="Char Char"/>
    <w:qFormat/>
    <w:rPr>
      <w:rFonts w:hint="eastAsia" w:ascii="宋体" w:hAnsi="宋体" w:eastAsia="楷体_GB2312"/>
      <w:sz w:val="24"/>
      <w:lang w:val="en-US" w:eastAsia="zh-CN" w:bidi="ar-SA"/>
    </w:rPr>
  </w:style>
  <w:style w:type="character" w:styleId="1203" w:customStyle="1">
    <w:name w:val="批注框文本 Char"/>
    <w:uiPriority w:val="99"/>
    <w:qFormat/>
    <w:rPr>
      <w:rFonts w:hint="eastAsia" w:ascii="楷体_GB2312" w:eastAsia="楷体_GB2312"/>
      <w:sz w:val="18"/>
      <w:szCs w:val="18"/>
    </w:rPr>
  </w:style>
  <w:style w:type="character" w:styleId="1204" w:customStyle="1">
    <w:name w:val="页脚 Char1"/>
    <w:uiPriority w:val="99"/>
    <w:semiHidden/>
    <w:qFormat/>
    <w:rPr>
      <w:rFonts w:hint="eastAsia" w:ascii="楷体_GB2312" w:eastAsia="楷体_GB2312"/>
      <w:sz w:val="18"/>
      <w:szCs w:val="18"/>
    </w:rPr>
  </w:style>
  <w:style w:type="character" w:styleId="1205" w:customStyle="1">
    <w:name w:val="HTML 预设格式 Char1"/>
    <w:qFormat/>
    <w:rPr>
      <w:rFonts w:ascii="Courier New" w:hAnsi="Courier New" w:eastAsia="楷体_GB2312" w:cs="Courier New"/>
    </w:rPr>
  </w:style>
  <w:style w:type="character" w:styleId="1206" w:customStyle="1">
    <w:name w:val="HTML 预设格式 Char2"/>
    <w:uiPriority w:val="99"/>
    <w:semiHidden/>
    <w:qFormat/>
    <w:rPr>
      <w:rFonts w:ascii="Courier New" w:hAnsi="Courier New" w:eastAsia="楷体_GB2312" w:cs="Courier New"/>
    </w:rPr>
  </w:style>
  <w:style w:type="character" w:styleId="1207" w:customStyle="1">
    <w:name w:val="不明显强调1"/>
    <w:uiPriority w:val="19"/>
    <w:qFormat/>
    <w:rPr>
      <w:i/>
      <w:color w:val="808080"/>
    </w:rPr>
  </w:style>
  <w:style w:type="character" w:styleId="1208" w:customStyle="1">
    <w:name w:val="批注文字 Char1"/>
    <w:uiPriority w:val="99"/>
    <w:semiHidden/>
    <w:qFormat/>
    <w:rPr>
      <w:rFonts w:hint="eastAsia" w:ascii="楷体_GB2312" w:eastAsia="楷体_GB2312"/>
      <w:sz w:val="28"/>
    </w:rPr>
  </w:style>
  <w:style w:type="character" w:styleId="1209" w:customStyle="1">
    <w:name w:val="blue3"/>
    <w:qFormat/>
    <w:rPr>
      <w:color w:val="0000ff"/>
      <w:spacing w:val="270"/>
      <w:u w:val="none"/>
    </w:rPr>
  </w:style>
  <w:style w:type="character" w:styleId="1210" w:customStyle="1">
    <w:name w:val="纯文本 Char1"/>
    <w:qFormat/>
    <w:rPr>
      <w:rFonts w:hint="eastAsia" w:ascii="宋体" w:hAnsi="Courier New" w:eastAsia="宋体" w:cs="Courier New"/>
      <w:sz w:val="21"/>
      <w:szCs w:val="21"/>
    </w:rPr>
  </w:style>
  <w:style w:type="character" w:styleId="1211" w:customStyle="1">
    <w:name w:val="正文首行缩进 Char1"/>
    <w:uiPriority w:val="99"/>
    <w:qFormat/>
    <w:rPr>
      <w:rFonts w:hint="eastAsia" w:ascii="宋体" w:hAnsi="宋体" w:eastAsia="宋体" w:cs="Times New Roman"/>
      <w:sz w:val="21"/>
      <w:szCs w:val="22"/>
    </w:rPr>
  </w:style>
  <w:style w:type="character" w:styleId="1212" w:customStyle="1">
    <w:name w:val="正文缩进1 Char"/>
    <w:qFormat/>
    <w:rPr>
      <w:rFonts w:ascii="Times New Roman" w:hAnsi="Times New Roman" w:eastAsia="楷体_GB2312" w:cs="Times New Roman"/>
      <w:sz w:val="24"/>
      <w:szCs w:val="20"/>
    </w:rPr>
  </w:style>
  <w:style w:type="character" w:styleId="1213" w:customStyle="1">
    <w:name w:val="Char Char2"/>
    <w:qFormat/>
    <w:rPr>
      <w:rFonts w:hint="eastAsia" w:ascii="宋体" w:hAnsi="宋体" w:eastAsia="楷体_GB2312"/>
      <w:sz w:val="24"/>
      <w:lang w:val="en-US" w:eastAsia="zh-CN" w:bidi="ar-SA"/>
    </w:rPr>
  </w:style>
  <w:style w:type="character" w:styleId="1214" w:customStyle="1">
    <w:name w:val="样式11"/>
    <w:qFormat/>
    <w:rPr>
      <w:b/>
    </w:rPr>
  </w:style>
  <w:style w:type="character" w:styleId="1215" w:customStyle="1">
    <w:name w:val="正文缩进1 Char1"/>
    <w:qFormat/>
    <w:rPr>
      <w:rFonts w:hint="eastAsia" w:ascii="楷体_GB2312" w:eastAsia="楷体_GB2312"/>
      <w:sz w:val="24"/>
      <w:lang w:val="en-US" w:eastAsia="zh-CN" w:bidi="ar-SA"/>
    </w:rPr>
  </w:style>
  <w:style w:type="character" w:styleId="1216" w:customStyle="1">
    <w:name w:val="a"/>
    <w:qFormat/>
  </w:style>
  <w:style w:type="table" w:styleId="1217" w:customStyle="1">
    <w:name w:val="网格型4"/>
    <w:basedOn w:val="711"/>
    <w:uiPriority w:val="59"/>
    <w:qFormat/>
    <w:rPr>
      <w:rFonts w:ascii="Calibri" w:hAnsi="Calibri"/>
    </w:rPr>
    <w:tblPr/>
  </w:style>
  <w:style w:type="table" w:styleId="1218" w:customStyle="1">
    <w:name w:val="网格型3"/>
    <w:basedOn w:val="711"/>
    <w:uiPriority w:val="59"/>
    <w:qFormat/>
    <w:pPr>
      <w:jc w:val="both"/>
      <w:widowControl w:val="off"/>
    </w:pPr>
    <w:rPr>
      <w:rFonts w:ascii="Calibri" w:hAnsi="Calibri"/>
    </w:rPr>
    <w:tblPr/>
  </w:style>
  <w:style w:type="table" w:styleId="1219" w:customStyle="1">
    <w:name w:val="网格型1"/>
    <w:basedOn w:val="711"/>
    <w:qFormat/>
    <w:rPr>
      <w:rFonts w:ascii="Calibri" w:hAnsi="Calibri"/>
    </w:rPr>
    <w:tblPr/>
  </w:style>
  <w:style w:type="table" w:styleId="1220" w:customStyle="1">
    <w:name w:val="网格型2"/>
    <w:basedOn w:val="711"/>
    <w:uiPriority w:val="59"/>
    <w:qFormat/>
    <w:pPr>
      <w:jc w:val="both"/>
      <w:widowControl w:val="off"/>
    </w:pPr>
    <w:rPr>
      <w:rFonts w:ascii="Calibri" w:hAnsi="Calibri"/>
    </w:rPr>
    <w:tblPr/>
  </w:style>
  <w:style w:type="character" w:styleId="1221" w:customStyle="1">
    <w:name w:val="列表段落 字符"/>
    <w:link w:val="1222"/>
    <w:rPr>
      <w:sz w:val="21"/>
    </w:rPr>
  </w:style>
  <w:style w:type="paragraph" w:styleId="1222" w:customStyle="1">
    <w:name w:val="列表段落"/>
    <w:basedOn w:val="700"/>
    <w:link w:val="1221"/>
    <w:pPr>
      <w:ind w:firstLine="420"/>
      <w:spacing w:line="360" w:lineRule="auto"/>
    </w:pPr>
    <w:rPr>
      <w:rFonts w:eastAsia="宋体"/>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hyperlink" Target="file:///C:\Users\Administrator\Desktop\&#23454;&#39564;&#23460;&#20202;&#22120;&#36141;&#32622;\172466230323562ed39f435b74316b6d5937959752773&#38451;&#28548;&#28246;&#27966;&#20986;&#25152;2024&#24180;&#39135;&#22530;&#21407;&#26448;&#26009;&#20379;&#24212;&#37319;&#36141;&#25991;&#20214;.doc.doc" TargetMode="External"/><Relationship Id="rId12" Type="http://schemas.openxmlformats.org/officeDocument/2006/relationships/hyperlink" Target="file:///C:\Users\Administrator\Desktop\&#23454;&#39564;&#23460;&#20202;&#22120;&#36141;&#32622;\172466230323562ed39f435b74316b6d5937959752773&#38451;&#28548;&#28246;&#27966;&#20986;&#25152;2024&#24180;&#39135;&#22530;&#21407;&#26448;&#26009;&#20379;&#24212;&#37319;&#36141;&#25991;&#20214;.doc.doc" TargetMode="External"/><Relationship Id="rId13" Type="http://schemas.openxmlformats.org/officeDocument/2006/relationships/hyperlink" Target="file:///C:\Users\Administrator\Desktop\&#23454;&#39564;&#23460;&#20202;&#22120;&#36141;&#32622;\172466230323562ed39f435b74316b6d5937959752773&#38451;&#28548;&#28246;&#27966;&#20986;&#25152;2024&#24180;&#39135;&#22530;&#21407;&#26448;&#26009;&#20379;&#24212;&#37319;&#36141;&#25991;&#20214;.doc.doc" TargetMode="External"/><Relationship Id="rId14" Type="http://schemas.openxmlformats.org/officeDocument/2006/relationships/hyperlink" Target="file:///C:\Users\Administrator\Desktop\&#23454;&#39564;&#23460;&#20202;&#22120;&#36141;&#32622;\172466230323562ed39f435b74316b6d5937959752773&#38451;&#28548;&#28246;&#27966;&#20986;&#25152;2024&#24180;&#39135;&#22530;&#21407;&#26448;&#26009;&#20379;&#24212;&#37319;&#36141;&#25991;&#20214;.doc.doc" TargetMode="External"/><Relationship Id="rId15" Type="http://schemas.openxmlformats.org/officeDocument/2006/relationships/hyperlink" Target="file:///C:\Users\Administrator\Desktop\&#23454;&#39564;&#23460;&#20202;&#22120;&#36141;&#32622;\172466230323562ed39f435b74316b6d5937959752773&#38451;&#28548;&#28246;&#27966;&#20986;&#25152;2024&#24180;&#39135;&#22530;&#21407;&#26448;&#26009;&#20379;&#24212;&#37319;&#36141;&#25991;&#20214;.doc.doc" TargetMode="External"/><Relationship Id="rId16" Type="http://schemas.openxmlformats.org/officeDocument/2006/relationships/hyperlink" Target="file:///C:\Users\Administrator\Desktop\&#23454;&#39564;&#23460;&#20202;&#22120;&#36141;&#32622;\172466230323562ed39f435b74316b6d5937959752773&#38451;&#28548;&#28246;&#27966;&#20986;&#25152;2024&#24180;&#39135;&#22530;&#21407;&#26448;&#26009;&#20379;&#24212;&#37319;&#36141;&#25991;&#20214;.doc.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沈燕</cp:lastModifiedBy>
  <cp:revision>121</cp:revision>
  <dcterms:created xsi:type="dcterms:W3CDTF">2024-09-18T02:29:00Z</dcterms:created>
  <dcterms:modified xsi:type="dcterms:W3CDTF">2025-12-22T03:21:06Z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eyJoZGlkIjoiMzJmYzY4YmQ2ZGJhNDNiZjc5NjgxNDZmMmM2MmY5M2MiLCJ1c2VySWQiOiI3MzIwODIyMzgifQ==</vt:lpwstr>
  </property>
  <property fmtid="{D5CDD505-2E9C-101B-9397-08002B2CF9AE}" pid="3" name="KSOProductBuildVer">
    <vt:lpwstr>2052-12.1.0.21541</vt:lpwstr>
  </property>
  <property fmtid="{D5CDD505-2E9C-101B-9397-08002B2CF9AE}" pid="4" name="ICV">
    <vt:lpwstr>C5AB699A19D14DFE87F1D355F1283821_12</vt:lpwstr>
  </property>
</Properties>
</file>